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94" w:rsidRDefault="00265194" w:rsidP="008273A8">
      <w:pPr>
        <w:jc w:val="center"/>
        <w:outlineLvl w:val="0"/>
        <w:rPr>
          <w:rFonts w:ascii="Tahoma" w:hAnsi="Tahoma" w:cs="Tahoma"/>
          <w:b/>
          <w:bCs/>
          <w:color w:val="000000"/>
          <w:sz w:val="40"/>
          <w:szCs w:val="40"/>
        </w:rPr>
      </w:pPr>
    </w:p>
    <w:p w:rsidR="00DA1B17" w:rsidRPr="00410645" w:rsidRDefault="00DA1B17" w:rsidP="008273A8">
      <w:pPr>
        <w:jc w:val="center"/>
        <w:outlineLvl w:val="0"/>
        <w:rPr>
          <w:rFonts w:ascii="Tahoma" w:hAnsi="Tahoma" w:cs="Tahoma"/>
          <w:b/>
          <w:bCs/>
          <w:color w:val="000000"/>
          <w:sz w:val="40"/>
          <w:szCs w:val="40"/>
        </w:rPr>
      </w:pPr>
      <w:r w:rsidRPr="00924993">
        <w:rPr>
          <w:rFonts w:ascii="Tahoma" w:hAnsi="Tahoma" w:cs="Tahoma"/>
          <w:b/>
          <w:bCs/>
          <w:color w:val="000000"/>
          <w:sz w:val="40"/>
          <w:szCs w:val="40"/>
        </w:rPr>
        <w:t xml:space="preserve">Αποτελέσματα </w:t>
      </w:r>
      <w:r w:rsidR="00163C38" w:rsidRPr="00163C38">
        <w:rPr>
          <w:rFonts w:ascii="Tahoma" w:hAnsi="Tahoma" w:cs="Tahoma"/>
          <w:b/>
          <w:bCs/>
          <w:color w:val="000000"/>
          <w:sz w:val="40"/>
          <w:szCs w:val="40"/>
        </w:rPr>
        <w:t>12</w:t>
      </w:r>
      <w:r w:rsidR="006D4C56">
        <w:rPr>
          <w:rFonts w:ascii="Tahoma" w:hAnsi="Tahoma" w:cs="Tahoma"/>
          <w:b/>
          <w:bCs/>
          <w:color w:val="000000"/>
          <w:sz w:val="40"/>
          <w:szCs w:val="40"/>
        </w:rPr>
        <w:t>μήνου</w:t>
      </w:r>
      <w:r w:rsidR="00385936">
        <w:rPr>
          <w:rFonts w:ascii="Tahoma" w:hAnsi="Tahoma" w:cs="Tahoma"/>
          <w:b/>
          <w:bCs/>
          <w:color w:val="000000"/>
          <w:sz w:val="40"/>
          <w:szCs w:val="40"/>
        </w:rPr>
        <w:t xml:space="preserve"> 201</w:t>
      </w:r>
      <w:r w:rsidR="00385936" w:rsidRPr="00410645">
        <w:rPr>
          <w:rFonts w:ascii="Tahoma" w:hAnsi="Tahoma" w:cs="Tahoma"/>
          <w:b/>
          <w:bCs/>
          <w:color w:val="000000"/>
          <w:sz w:val="40"/>
          <w:szCs w:val="40"/>
        </w:rPr>
        <w:t>6</w:t>
      </w:r>
    </w:p>
    <w:p w:rsidR="00886501" w:rsidRDefault="00886501" w:rsidP="003D5B63">
      <w:pPr>
        <w:jc w:val="right"/>
        <w:outlineLvl w:val="0"/>
        <w:rPr>
          <w:rFonts w:ascii="Tahoma" w:hAnsi="Tahoma" w:cs="Tahoma"/>
          <w:i/>
          <w:iCs/>
          <w:color w:val="000000"/>
          <w:sz w:val="20"/>
          <w:szCs w:val="20"/>
        </w:rPr>
      </w:pPr>
    </w:p>
    <w:p w:rsidR="00265194" w:rsidRPr="00924993" w:rsidRDefault="00265194" w:rsidP="003D5B63">
      <w:pPr>
        <w:jc w:val="right"/>
        <w:outlineLvl w:val="0"/>
        <w:rPr>
          <w:rFonts w:ascii="Tahoma" w:hAnsi="Tahoma" w:cs="Tahoma"/>
          <w:i/>
          <w:iCs/>
          <w:color w:val="000000"/>
          <w:sz w:val="20"/>
          <w:szCs w:val="20"/>
        </w:rPr>
      </w:pPr>
    </w:p>
    <w:p w:rsidR="00DA1B17" w:rsidRPr="00924993" w:rsidRDefault="008455B1" w:rsidP="00536E4A">
      <w:pPr>
        <w:jc w:val="right"/>
        <w:outlineLvl w:val="0"/>
        <w:rPr>
          <w:rStyle w:val="a0"/>
          <w:rFonts w:ascii="Tahoma" w:hAnsi="Tahoma" w:cs="Tahoma"/>
          <w:b w:val="0"/>
          <w:bCs w:val="0"/>
          <w:i/>
          <w:iCs/>
          <w:smallCaps w:val="0"/>
          <w:color w:val="000000"/>
          <w:spacing w:val="0"/>
        </w:rPr>
      </w:pPr>
      <w:r>
        <w:rPr>
          <w:rFonts w:ascii="Tahoma" w:hAnsi="Tahoma" w:cs="Tahoma"/>
          <w:i/>
          <w:iCs/>
          <w:color w:val="000000" w:themeColor="text1"/>
        </w:rPr>
        <w:t>27</w:t>
      </w:r>
      <w:r w:rsidR="00451665">
        <w:rPr>
          <w:rFonts w:ascii="Tahoma" w:hAnsi="Tahoma" w:cs="Tahoma"/>
          <w:i/>
          <w:iCs/>
          <w:color w:val="000000" w:themeColor="text1"/>
        </w:rPr>
        <w:t xml:space="preserve"> </w:t>
      </w:r>
      <w:r w:rsidR="0060289D">
        <w:rPr>
          <w:rFonts w:ascii="Tahoma" w:hAnsi="Tahoma" w:cs="Tahoma"/>
          <w:i/>
          <w:iCs/>
          <w:color w:val="000000" w:themeColor="text1"/>
        </w:rPr>
        <w:t>Απριλίου</w:t>
      </w:r>
      <w:r w:rsidR="00370D89" w:rsidRPr="00924993">
        <w:rPr>
          <w:rFonts w:ascii="Tahoma" w:hAnsi="Tahoma" w:cs="Tahoma"/>
          <w:i/>
          <w:iCs/>
          <w:color w:val="000000"/>
        </w:rPr>
        <w:t xml:space="preserve"> </w:t>
      </w:r>
      <w:r w:rsidR="00354C62" w:rsidRPr="00924993">
        <w:rPr>
          <w:rFonts w:ascii="Tahoma" w:hAnsi="Tahoma" w:cs="Tahoma"/>
          <w:i/>
          <w:iCs/>
          <w:color w:val="000000"/>
        </w:rPr>
        <w:t>201</w:t>
      </w:r>
      <w:r w:rsidR="0060289D">
        <w:rPr>
          <w:rFonts w:ascii="Tahoma" w:hAnsi="Tahoma" w:cs="Tahoma"/>
          <w:i/>
          <w:iCs/>
          <w:color w:val="000000"/>
        </w:rPr>
        <w:t>7</w:t>
      </w:r>
    </w:p>
    <w:p w:rsidR="00227B43" w:rsidRPr="00924993" w:rsidRDefault="00227B43" w:rsidP="003D5B63">
      <w:pPr>
        <w:jc w:val="right"/>
        <w:outlineLvl w:val="0"/>
        <w:rPr>
          <w:rStyle w:val="a0"/>
          <w:rFonts w:ascii="Tahoma" w:hAnsi="Tahoma" w:cs="Tahoma"/>
          <w:color w:val="000000"/>
          <w:sz w:val="20"/>
          <w:szCs w:val="20"/>
        </w:rPr>
      </w:pPr>
    </w:p>
    <w:p w:rsidR="00DA1B17" w:rsidRPr="00924993" w:rsidRDefault="00DA1B17" w:rsidP="008273A8">
      <w:pPr>
        <w:shd w:val="clear" w:color="auto" w:fill="595959"/>
        <w:ind w:left="720" w:hanging="720"/>
        <w:outlineLvl w:val="0"/>
        <w:rPr>
          <w:rStyle w:val="a0"/>
          <w:rFonts w:ascii="Tahoma" w:hAnsi="Tahoma" w:cs="Tahoma"/>
          <w:color w:val="FFFFFF"/>
          <w:sz w:val="36"/>
          <w:szCs w:val="36"/>
        </w:rPr>
      </w:pPr>
      <w:r w:rsidRPr="00924993">
        <w:rPr>
          <w:rStyle w:val="a0"/>
          <w:rFonts w:ascii="Tahoma" w:hAnsi="Tahoma" w:cs="Tahoma"/>
          <w:color w:val="FFFFFF"/>
          <w:sz w:val="36"/>
          <w:szCs w:val="36"/>
        </w:rPr>
        <w:t>Σημαντικά Σημεία</w:t>
      </w:r>
    </w:p>
    <w:p w:rsidR="00DA1B17" w:rsidRPr="00924993" w:rsidRDefault="00DA1B17" w:rsidP="008273A8">
      <w:pPr>
        <w:jc w:val="both"/>
        <w:rPr>
          <w:rFonts w:ascii="Tahoma" w:hAnsi="Tahoma" w:cs="Tahoma"/>
          <w:b/>
          <w:bCs/>
          <w:color w:val="000000"/>
          <w:highlight w:val="yellow"/>
        </w:rPr>
      </w:pPr>
    </w:p>
    <w:p w:rsidR="000D3C8A" w:rsidRPr="00BD5BD3" w:rsidRDefault="00DF48A0" w:rsidP="003A4D9A">
      <w:pPr>
        <w:pStyle w:val="ListParagraph"/>
        <w:widowControl w:val="0"/>
        <w:numPr>
          <w:ilvl w:val="0"/>
          <w:numId w:val="12"/>
        </w:numPr>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hanging="426"/>
        <w:jc w:val="both"/>
        <w:rPr>
          <w:rFonts w:ascii="Tahoma" w:hAnsi="Tahoma" w:cs="Tahoma"/>
          <w:b/>
          <w:bCs/>
          <w:color w:val="000000"/>
          <w:sz w:val="28"/>
          <w:szCs w:val="28"/>
        </w:rPr>
      </w:pPr>
      <w:r w:rsidRPr="00BD5BD3">
        <w:rPr>
          <w:rFonts w:ascii="Tahoma" w:hAnsi="Tahoma" w:cs="Tahoma"/>
          <w:b/>
          <w:bCs/>
          <w:color w:val="000000"/>
          <w:sz w:val="28"/>
          <w:szCs w:val="28"/>
        </w:rPr>
        <w:t xml:space="preserve">Αυξημένο κατά </w:t>
      </w:r>
      <w:r w:rsidR="00E86ECD">
        <w:rPr>
          <w:rFonts w:ascii="Tahoma" w:hAnsi="Tahoma" w:cs="Tahoma"/>
          <w:b/>
          <w:bCs/>
          <w:color w:val="000000"/>
          <w:sz w:val="28"/>
          <w:szCs w:val="28"/>
        </w:rPr>
        <w:t>8</w:t>
      </w:r>
      <w:r w:rsidRPr="00BD5BD3">
        <w:rPr>
          <w:rFonts w:ascii="Tahoma" w:hAnsi="Tahoma" w:cs="Tahoma"/>
          <w:b/>
          <w:bCs/>
          <w:color w:val="000000"/>
          <w:sz w:val="28"/>
          <w:szCs w:val="28"/>
        </w:rPr>
        <w:t>,</w:t>
      </w:r>
      <w:r w:rsidR="00E86ECD">
        <w:rPr>
          <w:rFonts w:ascii="Tahoma" w:hAnsi="Tahoma" w:cs="Tahoma"/>
          <w:b/>
          <w:bCs/>
          <w:color w:val="000000"/>
          <w:sz w:val="28"/>
          <w:szCs w:val="28"/>
        </w:rPr>
        <w:t>6</w:t>
      </w:r>
      <w:r w:rsidRPr="00BD5BD3">
        <w:rPr>
          <w:rFonts w:ascii="Tahoma" w:hAnsi="Tahoma" w:cs="Tahoma"/>
          <w:b/>
          <w:bCs/>
          <w:color w:val="000000"/>
          <w:sz w:val="28"/>
          <w:szCs w:val="28"/>
        </w:rPr>
        <w:t xml:space="preserve">% το προσαρμοσμένο </w:t>
      </w:r>
      <w:r w:rsidRPr="00BD5BD3">
        <w:rPr>
          <w:rFonts w:ascii="Tahoma" w:hAnsi="Tahoma" w:cs="Tahoma"/>
          <w:b/>
          <w:bCs/>
          <w:color w:val="000000"/>
          <w:sz w:val="28"/>
          <w:szCs w:val="28"/>
          <w:lang w:val="en-US"/>
        </w:rPr>
        <w:t>EBITDA</w:t>
      </w:r>
      <w:r w:rsidRPr="00BD5BD3">
        <w:rPr>
          <w:rFonts w:ascii="Tahoma" w:hAnsi="Tahoma" w:cs="Tahoma"/>
          <w:b/>
          <w:bCs/>
          <w:color w:val="000000"/>
          <w:sz w:val="28"/>
          <w:szCs w:val="28"/>
        </w:rPr>
        <w:t>, παρά την κάμψη των</w:t>
      </w:r>
      <w:r w:rsidR="00F728BC" w:rsidRPr="00BD5BD3">
        <w:rPr>
          <w:rFonts w:ascii="Tahoma" w:hAnsi="Tahoma" w:cs="Tahoma"/>
          <w:b/>
          <w:bCs/>
          <w:color w:val="000000"/>
          <w:sz w:val="28"/>
          <w:szCs w:val="28"/>
        </w:rPr>
        <w:t xml:space="preserve"> σ</w:t>
      </w:r>
      <w:r w:rsidR="00650AF1" w:rsidRPr="00BD5BD3">
        <w:rPr>
          <w:rFonts w:ascii="Tahoma" w:hAnsi="Tahoma" w:cs="Tahoma"/>
          <w:b/>
          <w:bCs/>
          <w:color w:val="000000"/>
          <w:sz w:val="28"/>
          <w:szCs w:val="28"/>
        </w:rPr>
        <w:t>υνολ</w:t>
      </w:r>
      <w:r w:rsidR="000055D5" w:rsidRPr="00BD5BD3">
        <w:rPr>
          <w:rFonts w:ascii="Tahoma" w:hAnsi="Tahoma" w:cs="Tahoma"/>
          <w:b/>
          <w:bCs/>
          <w:color w:val="000000"/>
          <w:sz w:val="28"/>
          <w:szCs w:val="28"/>
        </w:rPr>
        <w:t>ικ</w:t>
      </w:r>
      <w:r w:rsidRPr="00BD5BD3">
        <w:rPr>
          <w:rFonts w:ascii="Tahoma" w:hAnsi="Tahoma" w:cs="Tahoma"/>
          <w:b/>
          <w:bCs/>
          <w:color w:val="000000"/>
          <w:sz w:val="28"/>
          <w:szCs w:val="28"/>
        </w:rPr>
        <w:t>ών</w:t>
      </w:r>
      <w:r w:rsidR="000055D5" w:rsidRPr="00BD5BD3">
        <w:rPr>
          <w:rFonts w:ascii="Tahoma" w:hAnsi="Tahoma" w:cs="Tahoma"/>
          <w:b/>
          <w:bCs/>
          <w:color w:val="000000"/>
          <w:sz w:val="28"/>
          <w:szCs w:val="28"/>
        </w:rPr>
        <w:t xml:space="preserve"> </w:t>
      </w:r>
      <w:r w:rsidR="004D7644" w:rsidRPr="00BD5BD3">
        <w:rPr>
          <w:rFonts w:ascii="Tahoma" w:hAnsi="Tahoma" w:cs="Tahoma"/>
          <w:b/>
          <w:bCs/>
          <w:color w:val="000000"/>
          <w:sz w:val="28"/>
          <w:szCs w:val="28"/>
        </w:rPr>
        <w:t>(ομαλοποιημέν</w:t>
      </w:r>
      <w:r w:rsidRPr="00BD5BD3">
        <w:rPr>
          <w:rFonts w:ascii="Tahoma" w:hAnsi="Tahoma" w:cs="Tahoma"/>
          <w:b/>
          <w:bCs/>
          <w:color w:val="000000"/>
          <w:sz w:val="28"/>
          <w:szCs w:val="28"/>
        </w:rPr>
        <w:t>ων</w:t>
      </w:r>
      <w:r w:rsidR="004D7644" w:rsidRPr="00BD5BD3">
        <w:rPr>
          <w:rFonts w:ascii="Tahoma" w:hAnsi="Tahoma" w:cs="Tahoma"/>
          <w:b/>
          <w:bCs/>
          <w:color w:val="000000"/>
          <w:sz w:val="28"/>
          <w:szCs w:val="28"/>
        </w:rPr>
        <w:t xml:space="preserve">) </w:t>
      </w:r>
      <w:r w:rsidRPr="00BD5BD3">
        <w:rPr>
          <w:rFonts w:ascii="Tahoma" w:hAnsi="Tahoma" w:cs="Tahoma"/>
          <w:b/>
          <w:bCs/>
          <w:color w:val="000000"/>
          <w:sz w:val="28"/>
          <w:szCs w:val="28"/>
        </w:rPr>
        <w:t>ε</w:t>
      </w:r>
      <w:r w:rsidR="000055D5" w:rsidRPr="00BD5BD3">
        <w:rPr>
          <w:rFonts w:ascii="Tahoma" w:hAnsi="Tahoma" w:cs="Tahoma"/>
          <w:b/>
          <w:bCs/>
          <w:color w:val="000000"/>
          <w:sz w:val="28"/>
          <w:szCs w:val="28"/>
        </w:rPr>
        <w:t>σ</w:t>
      </w:r>
      <w:r w:rsidRPr="00BD5BD3">
        <w:rPr>
          <w:rFonts w:ascii="Tahoma" w:hAnsi="Tahoma" w:cs="Tahoma"/>
          <w:b/>
          <w:bCs/>
          <w:color w:val="000000"/>
          <w:sz w:val="28"/>
          <w:szCs w:val="28"/>
        </w:rPr>
        <w:t>ό</w:t>
      </w:r>
      <w:r w:rsidR="000055D5" w:rsidRPr="00BD5BD3">
        <w:rPr>
          <w:rFonts w:ascii="Tahoma" w:hAnsi="Tahoma" w:cs="Tahoma"/>
          <w:b/>
          <w:bCs/>
          <w:color w:val="000000"/>
          <w:sz w:val="28"/>
          <w:szCs w:val="28"/>
        </w:rPr>
        <w:t>δ</w:t>
      </w:r>
      <w:r w:rsidR="00147686">
        <w:rPr>
          <w:rFonts w:ascii="Tahoma" w:hAnsi="Tahoma" w:cs="Tahoma"/>
          <w:b/>
          <w:bCs/>
          <w:color w:val="000000"/>
          <w:sz w:val="28"/>
          <w:szCs w:val="28"/>
        </w:rPr>
        <w:t xml:space="preserve">ων </w:t>
      </w:r>
      <w:r w:rsidRPr="00BD5BD3">
        <w:rPr>
          <w:rFonts w:ascii="Tahoma" w:hAnsi="Tahoma" w:cs="Tahoma"/>
          <w:b/>
          <w:bCs/>
          <w:color w:val="000000"/>
          <w:sz w:val="28"/>
          <w:szCs w:val="28"/>
        </w:rPr>
        <w:t>που</w:t>
      </w:r>
      <w:r w:rsidR="000055D5" w:rsidRPr="00BD5BD3">
        <w:rPr>
          <w:rFonts w:ascii="Tahoma" w:hAnsi="Tahoma" w:cs="Tahoma"/>
          <w:b/>
          <w:bCs/>
          <w:color w:val="000000"/>
          <w:sz w:val="28"/>
          <w:szCs w:val="28"/>
        </w:rPr>
        <w:t xml:space="preserve"> διαμορφώθηκαν στα </w:t>
      </w:r>
      <w:r w:rsidR="005E0B52" w:rsidRPr="00BD5BD3">
        <w:rPr>
          <w:rFonts w:ascii="Tahoma" w:hAnsi="Tahoma" w:cs="Tahoma"/>
          <w:b/>
          <w:bCs/>
          <w:color w:val="000000"/>
          <w:sz w:val="28"/>
          <w:szCs w:val="28"/>
        </w:rPr>
        <w:t>325</w:t>
      </w:r>
      <w:r w:rsidR="00532A0E" w:rsidRPr="00BD5BD3">
        <w:rPr>
          <w:rFonts w:ascii="Tahoma" w:hAnsi="Tahoma" w:cs="Tahoma"/>
          <w:b/>
          <w:bCs/>
          <w:color w:val="000000"/>
          <w:sz w:val="28"/>
          <w:szCs w:val="28"/>
        </w:rPr>
        <w:t xml:space="preserve"> </w:t>
      </w:r>
      <w:r w:rsidR="00650AF1" w:rsidRPr="00BD5BD3">
        <w:rPr>
          <w:rFonts w:ascii="Tahoma" w:hAnsi="Tahoma" w:cs="Tahoma"/>
          <w:b/>
          <w:bCs/>
          <w:color w:val="000000"/>
          <w:sz w:val="28"/>
          <w:szCs w:val="28"/>
        </w:rPr>
        <w:t>εκ. ευρώ</w:t>
      </w:r>
    </w:p>
    <w:p w:rsidR="001A1559" w:rsidRDefault="005E0B52" w:rsidP="003A4D9A">
      <w:pPr>
        <w:pStyle w:val="ListParagraph"/>
        <w:widowControl w:val="0"/>
        <w:numPr>
          <w:ilvl w:val="0"/>
          <w:numId w:val="12"/>
        </w:numPr>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hanging="426"/>
        <w:jc w:val="both"/>
        <w:rPr>
          <w:rFonts w:ascii="Tahoma" w:hAnsi="Tahoma" w:cs="Tahoma"/>
          <w:b/>
          <w:bCs/>
          <w:color w:val="000000"/>
          <w:sz w:val="28"/>
          <w:szCs w:val="28"/>
        </w:rPr>
      </w:pPr>
      <w:r w:rsidRPr="00BD5BD3">
        <w:rPr>
          <w:rFonts w:ascii="Tahoma" w:hAnsi="Tahoma" w:cs="Tahoma"/>
          <w:b/>
          <w:bCs/>
          <w:color w:val="000000"/>
          <w:sz w:val="28"/>
          <w:szCs w:val="28"/>
        </w:rPr>
        <w:t>Καλύφθηκε η έκδοση του Μετατρέψιμου Ομολογιακού Δανείου</w:t>
      </w:r>
      <w:r w:rsidR="007E354D">
        <w:rPr>
          <w:rFonts w:ascii="Tahoma" w:hAnsi="Tahoma" w:cs="Tahoma"/>
          <w:b/>
          <w:bCs/>
          <w:color w:val="000000"/>
          <w:sz w:val="28"/>
          <w:szCs w:val="28"/>
        </w:rPr>
        <w:t xml:space="preserve"> </w:t>
      </w:r>
      <w:r w:rsidR="003A4D9A">
        <w:rPr>
          <w:rFonts w:ascii="Tahoma" w:hAnsi="Tahoma" w:cs="Tahoma"/>
          <w:b/>
          <w:bCs/>
          <w:color w:val="000000"/>
          <w:sz w:val="28"/>
          <w:szCs w:val="28"/>
        </w:rPr>
        <w:t>εκπληρώνοντας τη</w:t>
      </w:r>
      <w:r w:rsidR="007E354D">
        <w:rPr>
          <w:rFonts w:ascii="Tahoma" w:hAnsi="Tahoma" w:cs="Tahoma"/>
          <w:b/>
          <w:bCs/>
          <w:color w:val="000000"/>
          <w:sz w:val="28"/>
          <w:szCs w:val="28"/>
        </w:rPr>
        <w:t xml:space="preserve"> </w:t>
      </w:r>
      <w:r w:rsidR="00964CE4" w:rsidRPr="00964CE4">
        <w:rPr>
          <w:rFonts w:ascii="Tahoma" w:hAnsi="Tahoma" w:cs="Tahoma"/>
          <w:b/>
          <w:bCs/>
          <w:color w:val="000000"/>
          <w:sz w:val="28"/>
          <w:szCs w:val="28"/>
        </w:rPr>
        <w:t>βασική προϋπόθεση για την αναχρηματοδότηση του τραπεζικού δανεισμού</w:t>
      </w:r>
    </w:p>
    <w:p w:rsidR="00655012" w:rsidRPr="00B646A3" w:rsidRDefault="00655012" w:rsidP="00655012">
      <w:pPr>
        <w:pStyle w:val="ListParagraph"/>
        <w:widowControl w:val="0"/>
        <w:numPr>
          <w:ilvl w:val="0"/>
          <w:numId w:val="12"/>
        </w:numPr>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hanging="426"/>
        <w:jc w:val="both"/>
        <w:rPr>
          <w:rFonts w:ascii="Tahoma" w:hAnsi="Tahoma" w:cs="Tahoma"/>
          <w:b/>
          <w:bCs/>
          <w:color w:val="000000"/>
          <w:sz w:val="28"/>
          <w:szCs w:val="28"/>
        </w:rPr>
      </w:pPr>
      <w:r w:rsidRPr="00A5207E">
        <w:rPr>
          <w:rFonts w:ascii="Tahoma" w:hAnsi="Tahoma" w:cs="Tahoma"/>
          <w:b/>
          <w:bCs/>
          <w:color w:val="000000"/>
          <w:sz w:val="28"/>
          <w:szCs w:val="28"/>
        </w:rPr>
        <w:t>Πτώση της συνδρομητικής βάσης λόγω συντηρητικής εμπορικής πο</w:t>
      </w:r>
      <w:r>
        <w:rPr>
          <w:rFonts w:ascii="Tahoma" w:hAnsi="Tahoma" w:cs="Tahoma"/>
          <w:b/>
          <w:bCs/>
          <w:color w:val="000000"/>
          <w:sz w:val="28"/>
          <w:szCs w:val="28"/>
        </w:rPr>
        <w:t>λιτικής, επιβολής φόρου 10% στη</w:t>
      </w:r>
      <w:r w:rsidRPr="00A5207E">
        <w:rPr>
          <w:rFonts w:ascii="Tahoma" w:hAnsi="Tahoma" w:cs="Tahoma"/>
          <w:b/>
          <w:bCs/>
          <w:color w:val="000000"/>
          <w:sz w:val="28"/>
          <w:szCs w:val="28"/>
        </w:rPr>
        <w:t xml:space="preserve"> συνδρομητική τηλεόραση και </w:t>
      </w:r>
      <w:r w:rsidR="00947183">
        <w:rPr>
          <w:rFonts w:ascii="Tahoma" w:hAnsi="Tahoma" w:cs="Tahoma"/>
          <w:b/>
          <w:bCs/>
          <w:color w:val="000000"/>
          <w:sz w:val="28"/>
          <w:szCs w:val="28"/>
        </w:rPr>
        <w:t>απόδοσης</w:t>
      </w:r>
      <w:r w:rsidRPr="00A5207E">
        <w:rPr>
          <w:rFonts w:ascii="Tahoma" w:hAnsi="Tahoma" w:cs="Tahoma"/>
          <w:b/>
          <w:bCs/>
          <w:color w:val="000000"/>
          <w:sz w:val="28"/>
          <w:szCs w:val="28"/>
        </w:rPr>
        <w:t xml:space="preserve"> της Superleagu</w:t>
      </w:r>
      <w:r>
        <w:rPr>
          <w:rFonts w:ascii="Tahoma" w:hAnsi="Tahoma" w:cs="Tahoma"/>
          <w:b/>
          <w:bCs/>
          <w:color w:val="000000"/>
          <w:sz w:val="28"/>
          <w:szCs w:val="28"/>
          <w:lang w:val="en-US"/>
        </w:rPr>
        <w:t>e</w:t>
      </w:r>
    </w:p>
    <w:p w:rsidR="001A1559" w:rsidRDefault="00B646A3" w:rsidP="003A4D9A">
      <w:pPr>
        <w:pStyle w:val="ListParagraph"/>
        <w:widowControl w:val="0"/>
        <w:numPr>
          <w:ilvl w:val="0"/>
          <w:numId w:val="12"/>
        </w:numPr>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hanging="426"/>
        <w:jc w:val="both"/>
        <w:rPr>
          <w:rFonts w:ascii="Tahoma" w:hAnsi="Tahoma" w:cs="Tahoma"/>
          <w:b/>
          <w:bCs/>
          <w:color w:val="000000"/>
          <w:sz w:val="28"/>
          <w:szCs w:val="28"/>
        </w:rPr>
      </w:pPr>
      <w:r>
        <w:rPr>
          <w:rFonts w:ascii="Tahoma" w:hAnsi="Tahoma" w:cs="Tahoma"/>
          <w:b/>
          <w:bCs/>
          <w:color w:val="000000"/>
          <w:sz w:val="28"/>
          <w:szCs w:val="28"/>
        </w:rPr>
        <w:t>Βελτιωμένο τ</w:t>
      </w:r>
      <w:r w:rsidR="007E354D" w:rsidRPr="003A4D9A">
        <w:rPr>
          <w:rFonts w:ascii="Tahoma" w:hAnsi="Tahoma" w:cs="Tahoma"/>
          <w:b/>
          <w:bCs/>
          <w:color w:val="000000"/>
          <w:sz w:val="28"/>
          <w:szCs w:val="28"/>
        </w:rPr>
        <w:t>ο έσοδο από διαφήμιση κατά 11,</w:t>
      </w:r>
      <w:r w:rsidR="00E86ECD">
        <w:rPr>
          <w:rFonts w:ascii="Tahoma" w:hAnsi="Tahoma" w:cs="Tahoma"/>
          <w:b/>
          <w:bCs/>
          <w:color w:val="000000"/>
          <w:sz w:val="28"/>
          <w:szCs w:val="28"/>
        </w:rPr>
        <w:t>4</w:t>
      </w:r>
      <w:r w:rsidR="007E354D" w:rsidRPr="003A4D9A">
        <w:rPr>
          <w:rFonts w:ascii="Tahoma" w:hAnsi="Tahoma" w:cs="Tahoma"/>
          <w:b/>
          <w:bCs/>
          <w:color w:val="000000"/>
          <w:sz w:val="28"/>
          <w:szCs w:val="28"/>
        </w:rPr>
        <w:t>%</w:t>
      </w:r>
    </w:p>
    <w:p w:rsidR="00A4678D" w:rsidRPr="00BD5BD3" w:rsidRDefault="00A4678D" w:rsidP="003A4D9A">
      <w:pPr>
        <w:pStyle w:val="ListParagraph"/>
        <w:widowControl w:val="0"/>
        <w:numPr>
          <w:ilvl w:val="0"/>
          <w:numId w:val="12"/>
        </w:numPr>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hanging="426"/>
        <w:jc w:val="both"/>
        <w:rPr>
          <w:rFonts w:ascii="Tahoma" w:hAnsi="Tahoma" w:cs="Tahoma"/>
          <w:b/>
          <w:bCs/>
          <w:color w:val="000000"/>
          <w:sz w:val="28"/>
          <w:szCs w:val="28"/>
        </w:rPr>
      </w:pPr>
      <w:r w:rsidRPr="00BD5BD3">
        <w:rPr>
          <w:rFonts w:ascii="Tahoma" w:hAnsi="Tahoma" w:cs="Tahoma"/>
          <w:b/>
          <w:bCs/>
          <w:color w:val="000000"/>
          <w:sz w:val="28"/>
          <w:szCs w:val="28"/>
        </w:rPr>
        <w:t xml:space="preserve">Η </w:t>
      </w:r>
      <w:r w:rsidRPr="00BD5BD3">
        <w:rPr>
          <w:rFonts w:ascii="Tahoma" w:hAnsi="Tahoma" w:cs="Tahoma"/>
          <w:b/>
          <w:bCs/>
          <w:color w:val="000000"/>
          <w:sz w:val="28"/>
          <w:szCs w:val="28"/>
          <w:lang w:val="en-US"/>
        </w:rPr>
        <w:t>Forthnet</w:t>
      </w:r>
      <w:r w:rsidRPr="00BD5BD3">
        <w:rPr>
          <w:rFonts w:ascii="Tahoma" w:hAnsi="Tahoma" w:cs="Tahoma"/>
          <w:b/>
          <w:bCs/>
          <w:color w:val="000000"/>
          <w:sz w:val="28"/>
          <w:szCs w:val="28"/>
        </w:rPr>
        <w:t xml:space="preserve"> αναδείχθη</w:t>
      </w:r>
      <w:r w:rsidR="00147686">
        <w:rPr>
          <w:rFonts w:ascii="Tahoma" w:hAnsi="Tahoma" w:cs="Tahoma"/>
          <w:b/>
          <w:bCs/>
          <w:color w:val="000000"/>
          <w:sz w:val="28"/>
          <w:szCs w:val="28"/>
        </w:rPr>
        <w:t xml:space="preserve">κε πάροχος καθολικής υπηρεσίας </w:t>
      </w:r>
      <w:r w:rsidRPr="00BD5BD3">
        <w:rPr>
          <w:rFonts w:ascii="Tahoma" w:hAnsi="Tahoma" w:cs="Tahoma"/>
          <w:b/>
          <w:bCs/>
          <w:color w:val="000000"/>
          <w:sz w:val="28"/>
          <w:szCs w:val="28"/>
        </w:rPr>
        <w:t>για τις</w:t>
      </w:r>
      <w:r w:rsidR="00147686">
        <w:rPr>
          <w:rFonts w:ascii="Tahoma" w:hAnsi="Tahoma" w:cs="Tahoma"/>
          <w:b/>
          <w:bCs/>
          <w:color w:val="000000"/>
          <w:sz w:val="28"/>
          <w:szCs w:val="28"/>
        </w:rPr>
        <w:t xml:space="preserve"> υπηρεσίες σταθερής τηλεφωνίας </w:t>
      </w:r>
      <w:r w:rsidRPr="00BD5BD3">
        <w:rPr>
          <w:rFonts w:ascii="Tahoma" w:hAnsi="Tahoma" w:cs="Tahoma"/>
          <w:b/>
          <w:bCs/>
          <w:color w:val="000000"/>
          <w:sz w:val="28"/>
          <w:szCs w:val="28"/>
        </w:rPr>
        <w:t>μετά από σχετική δημοπρασία της ΕΕΤΤ</w:t>
      </w:r>
    </w:p>
    <w:p w:rsidR="00981EA8" w:rsidRPr="00BD5BD3" w:rsidRDefault="00981EA8" w:rsidP="00981EA8">
      <w:pPr>
        <w:pStyle w:val="ListParagraph"/>
        <w:widowControl w:val="0"/>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left="426" w:right="55"/>
        <w:rPr>
          <w:rFonts w:ascii="Tahoma" w:hAnsi="Tahoma" w:cs="Tahoma"/>
          <w:b/>
          <w:bCs/>
          <w:color w:val="000000"/>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6"/>
        <w:gridCol w:w="2268"/>
        <w:gridCol w:w="2268"/>
        <w:gridCol w:w="1588"/>
      </w:tblGrid>
      <w:tr w:rsidR="003473AA" w:rsidRPr="00924993" w:rsidTr="00067287">
        <w:trPr>
          <w:trHeight w:hRule="exact" w:val="342"/>
        </w:trPr>
        <w:tc>
          <w:tcPr>
            <w:tcW w:w="4366" w:type="dxa"/>
            <w:tcBorders>
              <w:bottom w:val="single" w:sz="4" w:space="0" w:color="auto"/>
            </w:tcBorders>
            <w:shd w:val="clear" w:color="auto" w:fill="D9D9D9"/>
            <w:noWrap/>
            <w:vAlign w:val="center"/>
          </w:tcPr>
          <w:p w:rsidR="003473AA" w:rsidRPr="00924993" w:rsidRDefault="003473AA" w:rsidP="003473AA">
            <w:pPr>
              <w:rPr>
                <w:rFonts w:ascii="Tahoma" w:hAnsi="Tahoma" w:cs="Tahoma"/>
                <w:i/>
                <w:iCs/>
                <w:color w:val="000000"/>
              </w:rPr>
            </w:pPr>
          </w:p>
        </w:tc>
        <w:tc>
          <w:tcPr>
            <w:tcW w:w="2268" w:type="dxa"/>
            <w:tcBorders>
              <w:bottom w:val="single" w:sz="4" w:space="0" w:color="auto"/>
            </w:tcBorders>
            <w:shd w:val="clear" w:color="auto" w:fill="D9D9D9"/>
            <w:vAlign w:val="center"/>
          </w:tcPr>
          <w:p w:rsidR="003473AA" w:rsidRPr="00C24DFD" w:rsidRDefault="0071333C" w:rsidP="003473AA">
            <w:pPr>
              <w:jc w:val="center"/>
              <w:rPr>
                <w:rFonts w:ascii="Tahoma" w:hAnsi="Tahoma" w:cs="Tahoma"/>
                <w:b/>
                <w:bCs/>
                <w:color w:val="000000" w:themeColor="text1"/>
                <w:sz w:val="22"/>
                <w:szCs w:val="22"/>
                <w:lang w:val="en-US" w:eastAsia="en-US"/>
              </w:rPr>
            </w:pPr>
            <w:r>
              <w:rPr>
                <w:rFonts w:ascii="Tahoma" w:hAnsi="Tahoma" w:cs="Tahoma"/>
                <w:b/>
                <w:bCs/>
                <w:color w:val="000000" w:themeColor="text1"/>
                <w:sz w:val="22"/>
                <w:szCs w:val="22"/>
              </w:rPr>
              <w:t>12M 2016</w:t>
            </w:r>
          </w:p>
        </w:tc>
        <w:tc>
          <w:tcPr>
            <w:tcW w:w="2268" w:type="dxa"/>
            <w:tcBorders>
              <w:bottom w:val="single" w:sz="4" w:space="0" w:color="auto"/>
            </w:tcBorders>
            <w:shd w:val="clear" w:color="auto" w:fill="D9D9D9"/>
            <w:vAlign w:val="center"/>
          </w:tcPr>
          <w:p w:rsidR="003473AA" w:rsidRPr="00C24DFD" w:rsidRDefault="0071333C" w:rsidP="003473AA">
            <w:pPr>
              <w:jc w:val="center"/>
              <w:rPr>
                <w:rFonts w:ascii="Tahoma" w:hAnsi="Tahoma" w:cs="Tahoma"/>
                <w:b/>
                <w:bCs/>
                <w:color w:val="000000" w:themeColor="text1"/>
                <w:sz w:val="22"/>
                <w:szCs w:val="22"/>
              </w:rPr>
            </w:pPr>
            <w:r>
              <w:rPr>
                <w:rFonts w:ascii="Tahoma" w:hAnsi="Tahoma" w:cs="Tahoma"/>
                <w:b/>
                <w:bCs/>
                <w:color w:val="000000" w:themeColor="text1"/>
                <w:sz w:val="22"/>
                <w:szCs w:val="22"/>
              </w:rPr>
              <w:t>12M 2015</w:t>
            </w:r>
          </w:p>
        </w:tc>
        <w:tc>
          <w:tcPr>
            <w:tcW w:w="1588" w:type="dxa"/>
            <w:tcBorders>
              <w:bottom w:val="single" w:sz="4" w:space="0" w:color="auto"/>
            </w:tcBorders>
            <w:shd w:val="clear" w:color="auto" w:fill="D9D9D9"/>
            <w:vAlign w:val="center"/>
          </w:tcPr>
          <w:p w:rsidR="003473AA" w:rsidRPr="00C24DFD" w:rsidRDefault="003473AA" w:rsidP="003473AA">
            <w:pPr>
              <w:jc w:val="center"/>
              <w:rPr>
                <w:rFonts w:ascii="Tahoma" w:hAnsi="Tahoma" w:cs="Tahoma"/>
                <w:b/>
                <w:bCs/>
                <w:color w:val="000000" w:themeColor="text1"/>
                <w:sz w:val="22"/>
                <w:szCs w:val="22"/>
              </w:rPr>
            </w:pPr>
            <w:r w:rsidRPr="00C24DFD">
              <w:rPr>
                <w:rFonts w:ascii="Tahoma" w:hAnsi="Tahoma" w:cs="Tahoma"/>
                <w:b/>
                <w:bCs/>
                <w:color w:val="000000" w:themeColor="text1"/>
                <w:sz w:val="22"/>
                <w:szCs w:val="22"/>
              </w:rPr>
              <w:t>Δ</w:t>
            </w:r>
          </w:p>
        </w:tc>
      </w:tr>
      <w:tr w:rsidR="00E86ECD" w:rsidRPr="00924993" w:rsidTr="00067287">
        <w:trPr>
          <w:trHeight w:hRule="exact" w:val="452"/>
        </w:trPr>
        <w:tc>
          <w:tcPr>
            <w:tcW w:w="4366" w:type="dxa"/>
            <w:shd w:val="clear" w:color="auto" w:fill="F2F2F2"/>
            <w:noWrap/>
            <w:vAlign w:val="center"/>
          </w:tcPr>
          <w:p w:rsidR="00E86ECD" w:rsidRPr="00924993" w:rsidRDefault="00E86ECD" w:rsidP="00E86ECD">
            <w:pPr>
              <w:rPr>
                <w:rFonts w:ascii="Tahoma" w:hAnsi="Tahoma" w:cs="Tahoma"/>
                <w:color w:val="000000"/>
              </w:rPr>
            </w:pPr>
            <w:r w:rsidRPr="00924993">
              <w:rPr>
                <w:rFonts w:ascii="Tahoma" w:hAnsi="Tahoma" w:cs="Tahoma"/>
                <w:color w:val="000000"/>
                <w:sz w:val="22"/>
              </w:rPr>
              <w:t>Συνολικές συνδρομές</w:t>
            </w:r>
          </w:p>
        </w:tc>
        <w:tc>
          <w:tcPr>
            <w:tcW w:w="2268" w:type="dxa"/>
            <w:shd w:val="clear" w:color="auto" w:fill="F2F2F2"/>
            <w:noWrap/>
            <w:vAlign w:val="center"/>
          </w:tcPr>
          <w:p w:rsidR="00E86ECD" w:rsidRPr="00E86ECD" w:rsidRDefault="00E86ECD" w:rsidP="00E86ECD">
            <w:pPr>
              <w:jc w:val="center"/>
              <w:rPr>
                <w:rFonts w:ascii="Tahoma" w:hAnsi="Tahoma" w:cs="Tahoma"/>
                <w:color w:val="000000" w:themeColor="text1"/>
                <w:sz w:val="22"/>
                <w:szCs w:val="22"/>
                <w:lang w:val="en-US" w:eastAsia="en-US"/>
              </w:rPr>
            </w:pPr>
            <w:r w:rsidRPr="00E86ECD">
              <w:rPr>
                <w:rFonts w:ascii="Tahoma" w:hAnsi="Tahoma" w:cs="Tahoma"/>
                <w:color w:val="000000" w:themeColor="text1"/>
                <w:sz w:val="22"/>
                <w:szCs w:val="22"/>
              </w:rPr>
              <w:t>1.021.143</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1.135.332</w:t>
            </w:r>
          </w:p>
        </w:tc>
        <w:tc>
          <w:tcPr>
            <w:tcW w:w="158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-10,1%</w:t>
            </w:r>
          </w:p>
        </w:tc>
      </w:tr>
      <w:tr w:rsidR="00E86ECD" w:rsidRPr="00924993" w:rsidTr="00067287">
        <w:trPr>
          <w:trHeight w:hRule="exact" w:val="419"/>
        </w:trPr>
        <w:tc>
          <w:tcPr>
            <w:tcW w:w="4366" w:type="dxa"/>
            <w:shd w:val="clear" w:color="auto" w:fill="F2F2F2"/>
            <w:noWrap/>
            <w:vAlign w:val="center"/>
          </w:tcPr>
          <w:p w:rsidR="00E86ECD" w:rsidRPr="00924993" w:rsidRDefault="00E86ECD" w:rsidP="00E86ECD">
            <w:pPr>
              <w:rPr>
                <w:rFonts w:ascii="Tahoma" w:hAnsi="Tahoma" w:cs="Tahoma"/>
                <w:color w:val="000000"/>
              </w:rPr>
            </w:pPr>
            <w:r w:rsidRPr="00924993">
              <w:rPr>
                <w:rFonts w:ascii="Tahoma" w:hAnsi="Tahoma" w:cs="Tahoma"/>
                <w:color w:val="000000"/>
                <w:sz w:val="22"/>
              </w:rPr>
              <w:t>Μοναδικά νοικοκυριά</w:t>
            </w:r>
          </w:p>
        </w:tc>
        <w:tc>
          <w:tcPr>
            <w:tcW w:w="2268" w:type="dxa"/>
            <w:shd w:val="clear" w:color="auto" w:fill="F2F2F2"/>
            <w:noWrap/>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719.591</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789.010</w:t>
            </w:r>
          </w:p>
        </w:tc>
        <w:tc>
          <w:tcPr>
            <w:tcW w:w="158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-8,8%</w:t>
            </w:r>
          </w:p>
        </w:tc>
      </w:tr>
      <w:tr w:rsidR="00E86ECD" w:rsidRPr="00924993" w:rsidTr="00067287">
        <w:trPr>
          <w:trHeight w:hRule="exact" w:val="466"/>
        </w:trPr>
        <w:tc>
          <w:tcPr>
            <w:tcW w:w="4366" w:type="dxa"/>
            <w:shd w:val="clear" w:color="auto" w:fill="F2F2F2"/>
            <w:noWrap/>
            <w:vAlign w:val="center"/>
          </w:tcPr>
          <w:p w:rsidR="00E86ECD" w:rsidRPr="00924993" w:rsidRDefault="00E86ECD" w:rsidP="00E86ECD">
            <w:pPr>
              <w:rPr>
                <w:rFonts w:ascii="Tahoma" w:hAnsi="Tahoma" w:cs="Tahoma"/>
                <w:color w:val="000000"/>
              </w:rPr>
            </w:pPr>
            <w:r w:rsidRPr="00924993">
              <w:rPr>
                <w:rFonts w:ascii="Tahoma" w:hAnsi="Tahoma" w:cs="Tahoma"/>
                <w:color w:val="000000"/>
                <w:sz w:val="22"/>
              </w:rPr>
              <w:t>Συνδυαστικές υπηρεσίες/</w:t>
            </w:r>
            <w:r w:rsidRPr="00924993">
              <w:rPr>
                <w:rFonts w:ascii="Tahoma" w:hAnsi="Tahoma" w:cs="Tahoma"/>
                <w:color w:val="000000"/>
                <w:sz w:val="22"/>
                <w:lang w:val="en-US"/>
              </w:rPr>
              <w:t>3play</w:t>
            </w:r>
          </w:p>
        </w:tc>
        <w:tc>
          <w:tcPr>
            <w:tcW w:w="2268" w:type="dxa"/>
            <w:shd w:val="clear" w:color="auto" w:fill="F2F2F2"/>
            <w:noWrap/>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301.552</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346.322</w:t>
            </w:r>
          </w:p>
        </w:tc>
        <w:tc>
          <w:tcPr>
            <w:tcW w:w="158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-12,9%</w:t>
            </w:r>
          </w:p>
        </w:tc>
      </w:tr>
      <w:tr w:rsidR="00E86ECD" w:rsidRPr="00924993" w:rsidTr="00067287">
        <w:trPr>
          <w:trHeight w:hRule="exact" w:val="418"/>
        </w:trPr>
        <w:tc>
          <w:tcPr>
            <w:tcW w:w="4366" w:type="dxa"/>
            <w:shd w:val="clear" w:color="auto" w:fill="F2F2F2"/>
            <w:noWrap/>
            <w:vAlign w:val="center"/>
          </w:tcPr>
          <w:p w:rsidR="00E86ECD" w:rsidRPr="00924993" w:rsidRDefault="00E86ECD" w:rsidP="00E86ECD">
            <w:pPr>
              <w:rPr>
                <w:rFonts w:ascii="Tahoma" w:hAnsi="Tahoma" w:cs="Tahoma"/>
                <w:color w:val="000000"/>
              </w:rPr>
            </w:pPr>
            <w:r w:rsidRPr="00924993">
              <w:rPr>
                <w:rFonts w:ascii="Tahoma" w:hAnsi="Tahoma" w:cs="Tahoma"/>
                <w:color w:val="000000"/>
                <w:sz w:val="22"/>
              </w:rPr>
              <w:t>Συνδρομητές Broadband</w:t>
            </w:r>
          </w:p>
        </w:tc>
        <w:tc>
          <w:tcPr>
            <w:tcW w:w="2268" w:type="dxa"/>
            <w:shd w:val="clear" w:color="auto" w:fill="F2F2F2"/>
            <w:noWrap/>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581.739</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640.689</w:t>
            </w:r>
          </w:p>
        </w:tc>
        <w:tc>
          <w:tcPr>
            <w:tcW w:w="158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-9,2%</w:t>
            </w:r>
          </w:p>
        </w:tc>
      </w:tr>
      <w:tr w:rsidR="00E86ECD" w:rsidRPr="00924993" w:rsidTr="00067287">
        <w:trPr>
          <w:trHeight w:hRule="exact" w:val="465"/>
        </w:trPr>
        <w:tc>
          <w:tcPr>
            <w:tcW w:w="4366" w:type="dxa"/>
            <w:shd w:val="clear" w:color="auto" w:fill="F2F2F2"/>
            <w:noWrap/>
            <w:vAlign w:val="center"/>
          </w:tcPr>
          <w:p w:rsidR="00E86ECD" w:rsidRPr="00924993" w:rsidRDefault="00E86ECD" w:rsidP="00E86ECD">
            <w:pPr>
              <w:rPr>
                <w:rFonts w:ascii="Tahoma" w:hAnsi="Tahoma" w:cs="Tahoma"/>
                <w:color w:val="000000"/>
              </w:rPr>
            </w:pPr>
            <w:r w:rsidRPr="00924993">
              <w:rPr>
                <w:rFonts w:ascii="Tahoma" w:hAnsi="Tahoma" w:cs="Tahoma"/>
                <w:color w:val="000000"/>
                <w:sz w:val="22"/>
              </w:rPr>
              <w:t xml:space="preserve">Συνδρομητές </w:t>
            </w:r>
            <w:r w:rsidRPr="00924993">
              <w:rPr>
                <w:rFonts w:ascii="Tahoma" w:hAnsi="Tahoma" w:cs="Tahoma"/>
                <w:color w:val="000000"/>
                <w:sz w:val="22"/>
                <w:lang w:val="en-US"/>
              </w:rPr>
              <w:t>PayTV</w:t>
            </w:r>
            <w:r w:rsidRPr="00924993">
              <w:rPr>
                <w:rFonts w:ascii="Tahoma" w:hAnsi="Tahoma" w:cs="Tahoma"/>
                <w:color w:val="000000"/>
                <w:sz w:val="22"/>
              </w:rPr>
              <w:t xml:space="preserve"> στην Ελλάδα</w:t>
            </w:r>
          </w:p>
        </w:tc>
        <w:tc>
          <w:tcPr>
            <w:tcW w:w="2268" w:type="dxa"/>
            <w:shd w:val="clear" w:color="auto" w:fill="F2F2F2"/>
            <w:noWrap/>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439.404</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494.643</w:t>
            </w:r>
          </w:p>
        </w:tc>
        <w:tc>
          <w:tcPr>
            <w:tcW w:w="158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-11,2%</w:t>
            </w:r>
          </w:p>
        </w:tc>
      </w:tr>
    </w:tbl>
    <w:p w:rsidR="007E5238" w:rsidRPr="00924993" w:rsidRDefault="007E5238" w:rsidP="00AC7715">
      <w:pPr>
        <w:widowControl w:val="0"/>
        <w:tabs>
          <w:tab w:val="left" w:pos="3800"/>
          <w:tab w:val="left" w:pos="4400"/>
          <w:tab w:val="left" w:pos="5400"/>
          <w:tab w:val="left" w:pos="6460"/>
          <w:tab w:val="left" w:pos="7920"/>
          <w:tab w:val="left" w:pos="8720"/>
          <w:tab w:val="left" w:pos="9280"/>
        </w:tabs>
        <w:autoSpaceDE w:val="0"/>
        <w:autoSpaceDN w:val="0"/>
        <w:adjustRightInd w:val="0"/>
        <w:spacing w:before="18" w:line="252" w:lineRule="auto"/>
        <w:ind w:right="55"/>
        <w:rPr>
          <w:rFonts w:ascii="Tahoma" w:hAnsi="Tahoma" w:cs="Tahoma"/>
          <w:b/>
          <w:bCs/>
          <w:color w:val="000000"/>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6"/>
        <w:gridCol w:w="2268"/>
        <w:gridCol w:w="2268"/>
        <w:gridCol w:w="1588"/>
      </w:tblGrid>
      <w:tr w:rsidR="0071333C" w:rsidRPr="00924993" w:rsidTr="00067287">
        <w:trPr>
          <w:trHeight w:hRule="exact" w:val="342"/>
        </w:trPr>
        <w:tc>
          <w:tcPr>
            <w:tcW w:w="4366" w:type="dxa"/>
            <w:tcBorders>
              <w:bottom w:val="single" w:sz="4" w:space="0" w:color="auto"/>
            </w:tcBorders>
            <w:shd w:val="clear" w:color="auto" w:fill="D9D9D9"/>
            <w:noWrap/>
            <w:vAlign w:val="center"/>
          </w:tcPr>
          <w:p w:rsidR="0071333C" w:rsidRPr="00924993" w:rsidRDefault="0071333C" w:rsidP="0071333C">
            <w:pPr>
              <w:rPr>
                <w:rFonts w:ascii="Tahoma" w:hAnsi="Tahoma" w:cs="Tahoma"/>
                <w:i/>
                <w:iCs/>
                <w:color w:val="000000"/>
                <w:lang w:val="en-US"/>
              </w:rPr>
            </w:pPr>
            <w:r w:rsidRPr="00924993">
              <w:rPr>
                <w:rFonts w:ascii="Tahoma" w:hAnsi="Tahoma" w:cs="Tahoma"/>
                <w:i/>
                <w:color w:val="000000"/>
                <w:sz w:val="18"/>
                <w:lang w:val="en-US"/>
              </w:rPr>
              <w:t>(.000€)</w:t>
            </w:r>
          </w:p>
        </w:tc>
        <w:tc>
          <w:tcPr>
            <w:tcW w:w="2268" w:type="dxa"/>
            <w:tcBorders>
              <w:bottom w:val="single" w:sz="4" w:space="0" w:color="auto"/>
            </w:tcBorders>
            <w:shd w:val="clear" w:color="auto" w:fill="D9D9D9"/>
            <w:vAlign w:val="center"/>
          </w:tcPr>
          <w:p w:rsidR="0071333C" w:rsidRPr="00C24DFD" w:rsidRDefault="0071333C" w:rsidP="0071333C">
            <w:pPr>
              <w:jc w:val="center"/>
              <w:rPr>
                <w:rFonts w:ascii="Tahoma" w:hAnsi="Tahoma" w:cs="Tahoma"/>
                <w:b/>
                <w:bCs/>
                <w:color w:val="000000" w:themeColor="text1"/>
                <w:sz w:val="22"/>
                <w:szCs w:val="22"/>
                <w:lang w:val="en-US" w:eastAsia="en-US"/>
              </w:rPr>
            </w:pPr>
            <w:r>
              <w:rPr>
                <w:rFonts w:ascii="Tahoma" w:hAnsi="Tahoma" w:cs="Tahoma"/>
                <w:b/>
                <w:bCs/>
                <w:color w:val="000000" w:themeColor="text1"/>
                <w:sz w:val="22"/>
                <w:szCs w:val="22"/>
              </w:rPr>
              <w:t>12M 2016</w:t>
            </w:r>
          </w:p>
        </w:tc>
        <w:tc>
          <w:tcPr>
            <w:tcW w:w="2268" w:type="dxa"/>
            <w:tcBorders>
              <w:bottom w:val="single" w:sz="4" w:space="0" w:color="auto"/>
            </w:tcBorders>
            <w:shd w:val="clear" w:color="auto" w:fill="D9D9D9"/>
            <w:vAlign w:val="center"/>
          </w:tcPr>
          <w:p w:rsidR="0071333C" w:rsidRPr="00C24DFD" w:rsidRDefault="0071333C" w:rsidP="0071333C">
            <w:pPr>
              <w:jc w:val="center"/>
              <w:rPr>
                <w:rFonts w:ascii="Tahoma" w:hAnsi="Tahoma" w:cs="Tahoma"/>
                <w:b/>
                <w:bCs/>
                <w:color w:val="000000" w:themeColor="text1"/>
                <w:sz w:val="22"/>
                <w:szCs w:val="22"/>
              </w:rPr>
            </w:pPr>
            <w:r>
              <w:rPr>
                <w:rFonts w:ascii="Tahoma" w:hAnsi="Tahoma" w:cs="Tahoma"/>
                <w:b/>
                <w:bCs/>
                <w:color w:val="000000" w:themeColor="text1"/>
                <w:sz w:val="22"/>
                <w:szCs w:val="22"/>
              </w:rPr>
              <w:t>12M 2015</w:t>
            </w:r>
          </w:p>
        </w:tc>
        <w:tc>
          <w:tcPr>
            <w:tcW w:w="1588" w:type="dxa"/>
            <w:tcBorders>
              <w:bottom w:val="single" w:sz="4" w:space="0" w:color="auto"/>
            </w:tcBorders>
            <w:shd w:val="clear" w:color="auto" w:fill="D9D9D9"/>
            <w:vAlign w:val="center"/>
          </w:tcPr>
          <w:p w:rsidR="0071333C" w:rsidRPr="00C24DFD" w:rsidRDefault="0071333C" w:rsidP="0071333C">
            <w:pPr>
              <w:jc w:val="center"/>
              <w:rPr>
                <w:rFonts w:ascii="Tahoma" w:hAnsi="Tahoma" w:cs="Tahoma"/>
                <w:b/>
                <w:bCs/>
                <w:color w:val="000000" w:themeColor="text1"/>
                <w:sz w:val="22"/>
                <w:szCs w:val="22"/>
              </w:rPr>
            </w:pPr>
            <w:r w:rsidRPr="00C24DFD">
              <w:rPr>
                <w:rFonts w:ascii="Tahoma" w:hAnsi="Tahoma" w:cs="Tahoma"/>
                <w:b/>
                <w:bCs/>
                <w:color w:val="000000" w:themeColor="text1"/>
                <w:sz w:val="22"/>
                <w:szCs w:val="22"/>
              </w:rPr>
              <w:t>Δ</w:t>
            </w:r>
          </w:p>
        </w:tc>
      </w:tr>
      <w:tr w:rsidR="00E86ECD" w:rsidRPr="00924993" w:rsidTr="00067287">
        <w:trPr>
          <w:trHeight w:hRule="exact" w:val="500"/>
        </w:trPr>
        <w:tc>
          <w:tcPr>
            <w:tcW w:w="4366" w:type="dxa"/>
            <w:shd w:val="clear" w:color="auto" w:fill="F2F2F2"/>
            <w:noWrap/>
            <w:vAlign w:val="center"/>
          </w:tcPr>
          <w:p w:rsidR="00E86ECD" w:rsidRPr="00924993" w:rsidRDefault="00E86ECD" w:rsidP="00E86ECD">
            <w:pPr>
              <w:rPr>
                <w:rFonts w:ascii="Tahoma" w:hAnsi="Tahoma" w:cs="Tahoma"/>
                <w:color w:val="000000"/>
              </w:rPr>
            </w:pPr>
            <w:r>
              <w:rPr>
                <w:rFonts w:ascii="Tahoma" w:hAnsi="Tahoma" w:cs="Tahoma"/>
                <w:color w:val="000000"/>
              </w:rPr>
              <w:t>Συνολικά έσοδα</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lang w:val="en-US" w:eastAsia="en-US"/>
              </w:rPr>
            </w:pPr>
            <w:r w:rsidRPr="00E86ECD">
              <w:rPr>
                <w:rFonts w:ascii="Tahoma" w:hAnsi="Tahoma" w:cs="Tahoma"/>
                <w:color w:val="000000" w:themeColor="text1"/>
                <w:sz w:val="22"/>
                <w:szCs w:val="22"/>
              </w:rPr>
              <w:t>324.710</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352.049</w:t>
            </w:r>
          </w:p>
        </w:tc>
        <w:tc>
          <w:tcPr>
            <w:tcW w:w="158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-7,8%</w:t>
            </w:r>
          </w:p>
        </w:tc>
      </w:tr>
      <w:tr w:rsidR="00E86ECD" w:rsidRPr="00924993" w:rsidTr="00067287">
        <w:trPr>
          <w:trHeight w:hRule="exact" w:val="500"/>
        </w:trPr>
        <w:tc>
          <w:tcPr>
            <w:tcW w:w="4366" w:type="dxa"/>
            <w:shd w:val="clear" w:color="auto" w:fill="F2F2F2"/>
            <w:noWrap/>
            <w:vAlign w:val="center"/>
          </w:tcPr>
          <w:p w:rsidR="00E86ECD" w:rsidRPr="00924993" w:rsidRDefault="00E86ECD" w:rsidP="00185CE1">
            <w:pPr>
              <w:rPr>
                <w:rFonts w:ascii="Tahoma" w:hAnsi="Tahoma" w:cs="Tahoma"/>
                <w:color w:val="000000"/>
              </w:rPr>
            </w:pPr>
            <w:r w:rsidRPr="007E5238">
              <w:rPr>
                <w:rFonts w:ascii="Tahoma" w:hAnsi="Tahoma" w:cs="Tahoma"/>
                <w:color w:val="000000"/>
                <w:sz w:val="22"/>
              </w:rPr>
              <w:t>Συνολικά έσοδα</w:t>
            </w:r>
            <w:r>
              <w:rPr>
                <w:rFonts w:ascii="Tahoma" w:hAnsi="Tahoma" w:cs="Tahoma"/>
                <w:color w:val="000000"/>
                <w:sz w:val="22"/>
                <w:lang w:val="en-US"/>
              </w:rPr>
              <w:t xml:space="preserve"> </w:t>
            </w:r>
            <w:r w:rsidRPr="00CB49C7">
              <w:rPr>
                <w:rFonts w:ascii="Tahoma" w:hAnsi="Tahoma" w:cs="Tahoma"/>
                <w:color w:val="000000"/>
                <w:sz w:val="18"/>
                <w:lang w:val="en-US"/>
              </w:rPr>
              <w:t>(</w:t>
            </w:r>
            <w:r>
              <w:rPr>
                <w:rFonts w:ascii="Tahoma" w:hAnsi="Tahoma" w:cs="Tahoma"/>
                <w:color w:val="000000"/>
                <w:sz w:val="18"/>
              </w:rPr>
              <w:t>ομαλοποιημένα)</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325.115</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352.488</w:t>
            </w:r>
          </w:p>
        </w:tc>
        <w:tc>
          <w:tcPr>
            <w:tcW w:w="158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-7,8%</w:t>
            </w:r>
          </w:p>
        </w:tc>
      </w:tr>
      <w:tr w:rsidR="00E86ECD" w:rsidRPr="00924993" w:rsidTr="00067287">
        <w:trPr>
          <w:trHeight w:hRule="exact" w:val="436"/>
        </w:trPr>
        <w:tc>
          <w:tcPr>
            <w:tcW w:w="4366" w:type="dxa"/>
            <w:shd w:val="clear" w:color="auto" w:fill="F2F2F2"/>
            <w:noWrap/>
            <w:vAlign w:val="center"/>
          </w:tcPr>
          <w:p w:rsidR="00E86ECD" w:rsidRPr="00924993" w:rsidRDefault="00E86ECD" w:rsidP="00E86ECD">
            <w:pPr>
              <w:rPr>
                <w:rFonts w:ascii="Tahoma" w:hAnsi="Tahoma" w:cs="Tahoma"/>
                <w:color w:val="000000"/>
                <w:lang w:val="en-US"/>
              </w:rPr>
            </w:pPr>
            <w:r w:rsidRPr="00924993">
              <w:rPr>
                <w:rFonts w:ascii="Tahoma" w:hAnsi="Tahoma" w:cs="Tahoma"/>
                <w:color w:val="000000"/>
                <w:sz w:val="22"/>
              </w:rPr>
              <w:t>Δημοσιευμένα</w:t>
            </w:r>
            <w:r w:rsidRPr="00924993">
              <w:rPr>
                <w:rFonts w:ascii="Tahoma" w:hAnsi="Tahoma" w:cs="Tahoma"/>
                <w:color w:val="000000"/>
                <w:sz w:val="22"/>
                <w:lang w:val="en-US"/>
              </w:rPr>
              <w:t xml:space="preserve"> EBITDA</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54.836</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48.225</w:t>
            </w:r>
          </w:p>
        </w:tc>
        <w:tc>
          <w:tcPr>
            <w:tcW w:w="158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13,7%</w:t>
            </w:r>
          </w:p>
        </w:tc>
      </w:tr>
      <w:tr w:rsidR="00E86ECD" w:rsidRPr="00924993" w:rsidTr="00067287">
        <w:trPr>
          <w:trHeight w:hRule="exact" w:val="415"/>
        </w:trPr>
        <w:tc>
          <w:tcPr>
            <w:tcW w:w="4366" w:type="dxa"/>
            <w:shd w:val="clear" w:color="auto" w:fill="F2F2F2"/>
            <w:noWrap/>
            <w:vAlign w:val="center"/>
          </w:tcPr>
          <w:p w:rsidR="00E86ECD" w:rsidRPr="00924993" w:rsidRDefault="00E86ECD" w:rsidP="00185CE1">
            <w:pPr>
              <w:rPr>
                <w:rFonts w:ascii="Tahoma" w:hAnsi="Tahoma" w:cs="Tahoma"/>
                <w:color w:val="000000"/>
                <w:lang w:val="en-US"/>
              </w:rPr>
            </w:pPr>
            <w:r w:rsidRPr="00924993">
              <w:rPr>
                <w:rFonts w:ascii="Tahoma" w:hAnsi="Tahoma" w:cs="Tahoma"/>
                <w:color w:val="000000"/>
                <w:sz w:val="22"/>
              </w:rPr>
              <w:t xml:space="preserve">Προσαρμοσμένα </w:t>
            </w:r>
            <w:r w:rsidRPr="00924993">
              <w:rPr>
                <w:rFonts w:ascii="Tahoma" w:hAnsi="Tahoma" w:cs="Tahoma"/>
                <w:color w:val="000000"/>
                <w:sz w:val="22"/>
                <w:lang w:val="en-US"/>
              </w:rPr>
              <w:t>EBITDA</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54.836</w:t>
            </w:r>
          </w:p>
        </w:tc>
        <w:tc>
          <w:tcPr>
            <w:tcW w:w="226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50.475</w:t>
            </w:r>
          </w:p>
        </w:tc>
        <w:tc>
          <w:tcPr>
            <w:tcW w:w="1588" w:type="dxa"/>
            <w:shd w:val="clear" w:color="auto" w:fill="F2F2F2"/>
            <w:vAlign w:val="center"/>
          </w:tcPr>
          <w:p w:rsidR="00E86ECD" w:rsidRPr="00E86ECD" w:rsidRDefault="00E86ECD" w:rsidP="00E86ECD">
            <w:pPr>
              <w:jc w:val="center"/>
              <w:rPr>
                <w:rFonts w:ascii="Tahoma" w:hAnsi="Tahoma" w:cs="Tahoma"/>
                <w:color w:val="000000" w:themeColor="text1"/>
                <w:sz w:val="22"/>
                <w:szCs w:val="22"/>
              </w:rPr>
            </w:pPr>
            <w:r w:rsidRPr="00E86ECD">
              <w:rPr>
                <w:rFonts w:ascii="Tahoma" w:hAnsi="Tahoma" w:cs="Tahoma"/>
                <w:color w:val="000000" w:themeColor="text1"/>
                <w:sz w:val="22"/>
                <w:szCs w:val="22"/>
              </w:rPr>
              <w:t>8,6%</w:t>
            </w:r>
          </w:p>
        </w:tc>
      </w:tr>
    </w:tbl>
    <w:p w:rsidR="00265194" w:rsidRDefault="00265194" w:rsidP="00CD74FF">
      <w:pPr>
        <w:widowControl w:val="0"/>
        <w:autoSpaceDE w:val="0"/>
        <w:autoSpaceDN w:val="0"/>
        <w:adjustRightInd w:val="0"/>
        <w:jc w:val="both"/>
        <w:rPr>
          <w:rFonts w:ascii="Tahoma" w:hAnsi="Tahoma" w:cs="Tahoma"/>
          <w:color w:val="000000"/>
        </w:rPr>
      </w:pPr>
    </w:p>
    <w:p w:rsidR="008A7AC8" w:rsidRPr="00BF557A" w:rsidRDefault="00DA1B17" w:rsidP="00CD74FF">
      <w:pPr>
        <w:widowControl w:val="0"/>
        <w:autoSpaceDE w:val="0"/>
        <w:autoSpaceDN w:val="0"/>
        <w:adjustRightInd w:val="0"/>
        <w:jc w:val="both"/>
        <w:rPr>
          <w:rFonts w:ascii="Tahoma" w:hAnsi="Tahoma" w:cs="Tahoma"/>
          <w:color w:val="000000"/>
        </w:rPr>
      </w:pPr>
      <w:r w:rsidRPr="00F21DE5">
        <w:rPr>
          <w:rFonts w:ascii="Tahoma" w:hAnsi="Tahoma" w:cs="Tahoma"/>
          <w:color w:val="000000"/>
        </w:rPr>
        <w:lastRenderedPageBreak/>
        <w:t>Σύμφωνα</w:t>
      </w:r>
      <w:r w:rsidR="009A0EAC" w:rsidRPr="00F21DE5">
        <w:rPr>
          <w:rFonts w:ascii="Tahoma" w:hAnsi="Tahoma" w:cs="Tahoma"/>
          <w:color w:val="000000"/>
        </w:rPr>
        <w:t xml:space="preserve"> </w:t>
      </w:r>
      <w:r w:rsidRPr="00F21DE5">
        <w:rPr>
          <w:rFonts w:ascii="Tahoma" w:hAnsi="Tahoma" w:cs="Tahoma"/>
          <w:color w:val="000000"/>
        </w:rPr>
        <w:t>με</w:t>
      </w:r>
      <w:r w:rsidR="009A0EAC" w:rsidRPr="00F21DE5">
        <w:rPr>
          <w:rFonts w:ascii="Tahoma" w:hAnsi="Tahoma" w:cs="Tahoma"/>
          <w:color w:val="000000"/>
        </w:rPr>
        <w:t xml:space="preserve"> το </w:t>
      </w:r>
      <w:r w:rsidRPr="00CE725B">
        <w:rPr>
          <w:rFonts w:ascii="Tahoma" w:hAnsi="Tahoma" w:cs="Tahoma"/>
          <w:b/>
          <w:color w:val="000000"/>
        </w:rPr>
        <w:t>Διευθύνοντα</w:t>
      </w:r>
      <w:r w:rsidR="009A0EAC" w:rsidRPr="00CE725B">
        <w:rPr>
          <w:rFonts w:ascii="Tahoma" w:hAnsi="Tahoma" w:cs="Tahoma"/>
          <w:b/>
          <w:color w:val="000000"/>
        </w:rPr>
        <w:t xml:space="preserve"> </w:t>
      </w:r>
      <w:r w:rsidRPr="00CE725B">
        <w:rPr>
          <w:rFonts w:ascii="Tahoma" w:hAnsi="Tahoma" w:cs="Tahoma"/>
          <w:b/>
          <w:color w:val="000000"/>
        </w:rPr>
        <w:t>Σύμβουλο, κ. Πάνο Παπαδόπουλο</w:t>
      </w:r>
      <w:r w:rsidRPr="00F21DE5">
        <w:rPr>
          <w:rFonts w:ascii="Tahoma" w:hAnsi="Tahoma" w:cs="Tahoma"/>
          <w:color w:val="000000"/>
        </w:rPr>
        <w:t>:</w:t>
      </w:r>
    </w:p>
    <w:p w:rsidR="00BF557A" w:rsidRPr="00BD18D4" w:rsidRDefault="00BF557A" w:rsidP="00CD74FF">
      <w:pPr>
        <w:widowControl w:val="0"/>
        <w:autoSpaceDE w:val="0"/>
        <w:autoSpaceDN w:val="0"/>
        <w:adjustRightInd w:val="0"/>
        <w:jc w:val="both"/>
        <w:rPr>
          <w:rFonts w:ascii="Tahoma" w:hAnsi="Tahoma" w:cs="Tahoma"/>
          <w:color w:val="000000"/>
        </w:rPr>
      </w:pPr>
    </w:p>
    <w:p w:rsidR="00655012" w:rsidRPr="003A4D9A" w:rsidRDefault="00655012" w:rsidP="00655012">
      <w:pPr>
        <w:widowControl w:val="0"/>
        <w:autoSpaceDE w:val="0"/>
        <w:autoSpaceDN w:val="0"/>
        <w:adjustRightInd w:val="0"/>
        <w:jc w:val="both"/>
        <w:rPr>
          <w:rFonts w:ascii="Tahoma" w:hAnsi="Tahoma" w:cs="Tahoma"/>
          <w:i/>
          <w:color w:val="000000"/>
          <w:shd w:val="clear" w:color="auto" w:fill="FDFDFD"/>
        </w:rPr>
      </w:pPr>
      <w:r w:rsidRPr="00BD5BD3">
        <w:rPr>
          <w:rFonts w:ascii="Tahoma" w:hAnsi="Tahoma" w:cs="Tahoma"/>
          <w:color w:val="000000"/>
        </w:rPr>
        <w:t>«</w:t>
      </w:r>
      <w:r w:rsidRPr="00A5207E">
        <w:rPr>
          <w:rFonts w:ascii="Tahoma" w:hAnsi="Tahoma" w:cs="Tahoma"/>
          <w:i/>
          <w:iCs/>
          <w:color w:val="000000"/>
          <w:shd w:val="clear" w:color="auto" w:fill="FDFDFD"/>
        </w:rPr>
        <w:t>Η συνεχιζόμενη ύφεση της Ελληνικής Οικονομίας επηρέασε αρνητικά την αγοραστική δύναμη των καταναλωτών και το 2016, ε</w:t>
      </w:r>
      <w:r w:rsidR="00147686">
        <w:rPr>
          <w:rFonts w:ascii="Tahoma" w:hAnsi="Tahoma" w:cs="Tahoma"/>
          <w:i/>
          <w:iCs/>
          <w:color w:val="000000"/>
          <w:shd w:val="clear" w:color="auto" w:fill="FDFDFD"/>
        </w:rPr>
        <w:t>νώ η επιβολή φορολογίας 10% στη</w:t>
      </w:r>
      <w:r w:rsidRPr="00A5207E">
        <w:rPr>
          <w:rFonts w:ascii="Tahoma" w:hAnsi="Tahoma" w:cs="Tahoma"/>
          <w:i/>
          <w:iCs/>
          <w:color w:val="000000"/>
          <w:shd w:val="clear" w:color="auto" w:fill="FDFDFD"/>
        </w:rPr>
        <w:t xml:space="preserve"> συνδρομητική τηλεόραση και </w:t>
      </w:r>
      <w:r w:rsidR="00947183">
        <w:rPr>
          <w:rFonts w:ascii="Tahoma" w:hAnsi="Tahoma" w:cs="Tahoma"/>
          <w:i/>
          <w:iCs/>
          <w:color w:val="000000"/>
          <w:shd w:val="clear" w:color="auto" w:fill="FDFDFD"/>
        </w:rPr>
        <w:t>η απόδοση</w:t>
      </w:r>
      <w:r>
        <w:rPr>
          <w:rFonts w:ascii="Tahoma" w:hAnsi="Tahoma" w:cs="Tahoma"/>
          <w:i/>
          <w:iCs/>
          <w:color w:val="000000"/>
          <w:shd w:val="clear" w:color="auto" w:fill="FDFDFD"/>
        </w:rPr>
        <w:t xml:space="preserve"> της Superleague, επηρ</w:t>
      </w:r>
      <w:r w:rsidRPr="00A5207E">
        <w:rPr>
          <w:rFonts w:ascii="Tahoma" w:hAnsi="Tahoma" w:cs="Tahoma"/>
          <w:i/>
          <w:iCs/>
          <w:color w:val="000000"/>
          <w:shd w:val="clear" w:color="auto" w:fill="FDFDFD"/>
        </w:rPr>
        <w:t xml:space="preserve">έασαν </w:t>
      </w:r>
      <w:r w:rsidR="00147686">
        <w:rPr>
          <w:rFonts w:ascii="Tahoma" w:hAnsi="Tahoma" w:cs="Tahoma"/>
          <w:i/>
          <w:iCs/>
          <w:color w:val="000000"/>
          <w:shd w:val="clear" w:color="auto" w:fill="FDFDFD"/>
        </w:rPr>
        <w:t>αρνητικά τη</w:t>
      </w:r>
      <w:r w:rsidR="006F3A63">
        <w:rPr>
          <w:rFonts w:ascii="Tahoma" w:hAnsi="Tahoma" w:cs="Tahoma"/>
          <w:i/>
          <w:iCs/>
          <w:color w:val="000000"/>
          <w:shd w:val="clear" w:color="auto" w:fill="FDFDFD"/>
        </w:rPr>
        <w:t xml:space="preserve"> συνδρομητική μας βά</w:t>
      </w:r>
      <w:r w:rsidRPr="00A5207E">
        <w:rPr>
          <w:rFonts w:ascii="Tahoma" w:hAnsi="Tahoma" w:cs="Tahoma"/>
          <w:i/>
          <w:iCs/>
          <w:color w:val="000000"/>
          <w:shd w:val="clear" w:color="auto" w:fill="FDFDFD"/>
        </w:rPr>
        <w:t>ση. Σε αυτό το δυσμενές μακροοικον</w:t>
      </w:r>
      <w:r w:rsidR="00147686">
        <w:rPr>
          <w:rFonts w:ascii="Tahoma" w:hAnsi="Tahoma" w:cs="Tahoma"/>
          <w:i/>
          <w:iCs/>
          <w:color w:val="000000"/>
          <w:shd w:val="clear" w:color="auto" w:fill="FDFDFD"/>
        </w:rPr>
        <w:t>ομικό περιβάλλον διατηρήσαμε μία</w:t>
      </w:r>
      <w:r w:rsidRPr="00A5207E">
        <w:rPr>
          <w:rFonts w:ascii="Tahoma" w:hAnsi="Tahoma" w:cs="Tahoma"/>
          <w:i/>
          <w:iCs/>
          <w:color w:val="000000"/>
          <w:shd w:val="clear" w:color="auto" w:fill="FDFDFD"/>
        </w:rPr>
        <w:t xml:space="preserve"> συντηρητική εμπορική πολιτική και βελτιώσαμε περαιτέρω το κοστ</w:t>
      </w:r>
      <w:r w:rsidR="00264DF5">
        <w:rPr>
          <w:rFonts w:ascii="Tahoma" w:hAnsi="Tahoma" w:cs="Tahoma"/>
          <w:i/>
          <w:iCs/>
          <w:color w:val="000000"/>
          <w:shd w:val="clear" w:color="auto" w:fill="FDFDFD"/>
        </w:rPr>
        <w:t xml:space="preserve">ολογικό  μοντέλο της εταιρείας. </w:t>
      </w:r>
      <w:r w:rsidRPr="00A5207E">
        <w:rPr>
          <w:rFonts w:ascii="Tahoma" w:hAnsi="Tahoma" w:cs="Tahoma"/>
          <w:i/>
          <w:iCs/>
          <w:color w:val="000000"/>
          <w:shd w:val="clear" w:color="auto" w:fill="FDFDFD"/>
        </w:rPr>
        <w:t>Ως εκ τούτου πετύχαμε σημαντική βελτίωση του </w:t>
      </w:r>
      <w:r w:rsidRPr="00A5207E">
        <w:rPr>
          <w:rFonts w:ascii="Tahoma" w:hAnsi="Tahoma" w:cs="Tahoma"/>
          <w:i/>
          <w:iCs/>
          <w:color w:val="000000"/>
          <w:shd w:val="clear" w:color="auto" w:fill="FDFDFD"/>
          <w:lang w:val="en-US"/>
        </w:rPr>
        <w:t>EBITDA</w:t>
      </w:r>
      <w:r w:rsidRPr="00A5207E">
        <w:rPr>
          <w:rFonts w:ascii="Tahoma" w:hAnsi="Tahoma" w:cs="Tahoma"/>
          <w:i/>
          <w:iCs/>
          <w:color w:val="000000"/>
          <w:shd w:val="clear" w:color="auto" w:fill="FDFDFD"/>
        </w:rPr>
        <w:t>, παρά την κάμψη των συνολικών εσόδων. Μετά την επιτυχή έκδοση του Μετατρέψιμου Ομολογιακού Δανείου και την κάλυψη της βασικής προϋπόθεσης για τη</w:t>
      </w:r>
      <w:r w:rsidR="00417515">
        <w:rPr>
          <w:rFonts w:ascii="Tahoma" w:hAnsi="Tahoma" w:cs="Tahoma"/>
          <w:i/>
          <w:iCs/>
          <w:color w:val="000000"/>
          <w:shd w:val="clear" w:color="auto" w:fill="FDFDFD"/>
        </w:rPr>
        <w:t>ν αναχρηματοδότηση</w:t>
      </w:r>
      <w:r w:rsidRPr="00A5207E">
        <w:rPr>
          <w:rFonts w:ascii="Tahoma" w:hAnsi="Tahoma" w:cs="Tahoma"/>
          <w:i/>
          <w:iCs/>
          <w:color w:val="000000"/>
          <w:shd w:val="clear" w:color="auto" w:fill="FDFDFD"/>
        </w:rPr>
        <w:t xml:space="preserve"> των δανειακών υποχρεώσεων της εταιρείας, επικεντρωνόμαστε στα επιχειρησιακά μας πλάνα με βασικό άξονα τις καινοτόμες υπηρεσίες που αναβαθμίζουν την εμπειρία των συνδρομητών μας</w:t>
      </w:r>
      <w:r w:rsidRPr="00BD5BD3">
        <w:rPr>
          <w:rFonts w:ascii="Tahoma" w:hAnsi="Tahoma" w:cs="Tahoma"/>
          <w:i/>
          <w:color w:val="000000"/>
          <w:shd w:val="clear" w:color="auto" w:fill="FDFDFD"/>
        </w:rPr>
        <w:t>».</w:t>
      </w:r>
    </w:p>
    <w:p w:rsidR="009F5CB2" w:rsidRPr="00CD5B3D" w:rsidRDefault="009F5CB2" w:rsidP="00CD74FF">
      <w:pPr>
        <w:widowControl w:val="0"/>
        <w:autoSpaceDE w:val="0"/>
        <w:autoSpaceDN w:val="0"/>
        <w:adjustRightInd w:val="0"/>
        <w:jc w:val="both"/>
        <w:rPr>
          <w:rFonts w:ascii="Tahoma" w:hAnsi="Tahoma" w:cs="Tahoma"/>
          <w:color w:val="000000"/>
        </w:rPr>
      </w:pPr>
    </w:p>
    <w:p w:rsidR="00DA1B17" w:rsidRPr="007A7BAD" w:rsidRDefault="00DA1B17" w:rsidP="00F21DE5">
      <w:pPr>
        <w:jc w:val="both"/>
        <w:rPr>
          <w:rFonts w:ascii="Tahoma" w:hAnsi="Tahoma" w:cs="Tahoma"/>
          <w:b/>
          <w:bCs/>
          <w:sz w:val="32"/>
          <w:szCs w:val="32"/>
        </w:rPr>
      </w:pPr>
      <w:r w:rsidRPr="00F21DE5">
        <w:rPr>
          <w:rFonts w:ascii="Tahoma" w:hAnsi="Tahoma" w:cs="Tahoma"/>
          <w:b/>
          <w:bCs/>
          <w:sz w:val="32"/>
          <w:szCs w:val="32"/>
        </w:rPr>
        <w:t>Συνδυαστικές Υπηρεσίες/3</w:t>
      </w:r>
      <w:r w:rsidRPr="00F21DE5">
        <w:rPr>
          <w:rFonts w:ascii="Tahoma" w:hAnsi="Tahoma" w:cs="Tahoma"/>
          <w:b/>
          <w:bCs/>
          <w:sz w:val="32"/>
          <w:szCs w:val="32"/>
          <w:lang w:val="en-US"/>
        </w:rPr>
        <w:t>Play</w:t>
      </w:r>
    </w:p>
    <w:p w:rsidR="00530C5C" w:rsidRPr="00F21DE5" w:rsidRDefault="00530C5C" w:rsidP="00F21DE5">
      <w:pPr>
        <w:jc w:val="both"/>
        <w:rPr>
          <w:rFonts w:ascii="Tahoma" w:hAnsi="Tahoma" w:cs="Tahoma"/>
          <w:b/>
          <w:bCs/>
          <w:sz w:val="28"/>
          <w:szCs w:val="28"/>
        </w:rPr>
      </w:pPr>
    </w:p>
    <w:p w:rsidR="005227CE" w:rsidRPr="00AB48CF" w:rsidRDefault="005227CE" w:rsidP="005227CE">
      <w:pPr>
        <w:widowControl w:val="0"/>
        <w:autoSpaceDE w:val="0"/>
        <w:autoSpaceDN w:val="0"/>
        <w:adjustRightInd w:val="0"/>
        <w:jc w:val="both"/>
        <w:rPr>
          <w:rFonts w:ascii="Tahoma" w:hAnsi="Tahoma" w:cs="Tahoma"/>
          <w:color w:val="000000"/>
        </w:rPr>
      </w:pPr>
      <w:r w:rsidRPr="009C3040">
        <w:rPr>
          <w:rFonts w:ascii="Tahoma" w:hAnsi="Tahoma" w:cs="Tahoma"/>
          <w:color w:val="000000"/>
        </w:rPr>
        <w:t xml:space="preserve">Στο τέλος του </w:t>
      </w:r>
      <w:r w:rsidR="009C3040" w:rsidRPr="009C3040">
        <w:rPr>
          <w:rFonts w:ascii="Tahoma" w:hAnsi="Tahoma" w:cs="Tahoma"/>
          <w:color w:val="000000"/>
        </w:rPr>
        <w:t>Δεκεμβρίου</w:t>
      </w:r>
      <w:r w:rsidRPr="009C3040">
        <w:rPr>
          <w:rFonts w:ascii="Tahoma" w:hAnsi="Tahoma" w:cs="Tahoma"/>
          <w:color w:val="000000"/>
        </w:rPr>
        <w:t xml:space="preserve"> του 201</w:t>
      </w:r>
      <w:r w:rsidR="00410645">
        <w:rPr>
          <w:rFonts w:ascii="Tahoma" w:hAnsi="Tahoma" w:cs="Tahoma"/>
          <w:color w:val="000000"/>
        </w:rPr>
        <w:t>6</w:t>
      </w:r>
      <w:r w:rsidRPr="009C3040">
        <w:rPr>
          <w:rFonts w:ascii="Tahoma" w:hAnsi="Tahoma" w:cs="Tahoma"/>
          <w:color w:val="000000"/>
        </w:rPr>
        <w:t xml:space="preserve">, τα νοικοκυριά με </w:t>
      </w:r>
      <w:r w:rsidRPr="009C3040">
        <w:rPr>
          <w:rFonts w:ascii="Tahoma" w:hAnsi="Tahoma" w:cs="Tahoma"/>
          <w:color w:val="000000"/>
          <w:lang w:val="en-US"/>
        </w:rPr>
        <w:t>Nova</w:t>
      </w:r>
      <w:r w:rsidRPr="009C3040">
        <w:rPr>
          <w:rFonts w:ascii="Tahoma" w:hAnsi="Tahoma" w:cs="Tahoma"/>
          <w:color w:val="000000"/>
        </w:rPr>
        <w:t xml:space="preserve"> 3</w:t>
      </w:r>
      <w:r w:rsidRPr="009C3040">
        <w:rPr>
          <w:rFonts w:ascii="Tahoma" w:hAnsi="Tahoma" w:cs="Tahoma"/>
          <w:color w:val="000000"/>
          <w:lang w:val="en-US"/>
        </w:rPr>
        <w:t>Play</w:t>
      </w:r>
      <w:r w:rsidRPr="009C3040">
        <w:rPr>
          <w:rFonts w:ascii="Tahoma" w:hAnsi="Tahoma" w:cs="Tahoma"/>
          <w:color w:val="000000"/>
        </w:rPr>
        <w:t xml:space="preserve">/συνδυαστικές υπηρεσίες της </w:t>
      </w:r>
      <w:r w:rsidRPr="009C3040">
        <w:rPr>
          <w:rFonts w:ascii="Tahoma" w:hAnsi="Tahoma" w:cs="Tahoma"/>
          <w:color w:val="000000"/>
          <w:lang w:val="en-US"/>
        </w:rPr>
        <w:t>Forthnet</w:t>
      </w:r>
      <w:r w:rsidR="0096554B" w:rsidRPr="009C3040">
        <w:rPr>
          <w:rFonts w:ascii="Tahoma" w:hAnsi="Tahoma" w:cs="Tahoma"/>
          <w:color w:val="000000"/>
        </w:rPr>
        <w:t xml:space="preserve">, ανήλθαν στα </w:t>
      </w:r>
      <w:r w:rsidR="009C3040" w:rsidRPr="009C3040">
        <w:rPr>
          <w:rFonts w:ascii="Tahoma" w:hAnsi="Tahoma" w:cs="Tahoma"/>
          <w:color w:val="000000"/>
        </w:rPr>
        <w:t>3</w:t>
      </w:r>
      <w:r w:rsidR="00410645">
        <w:rPr>
          <w:rFonts w:ascii="Tahoma" w:hAnsi="Tahoma" w:cs="Tahoma"/>
          <w:color w:val="000000"/>
        </w:rPr>
        <w:t>01</w:t>
      </w:r>
      <w:r w:rsidR="00643C29" w:rsidRPr="009C3040">
        <w:rPr>
          <w:rFonts w:ascii="Tahoma" w:hAnsi="Tahoma" w:cs="Tahoma"/>
          <w:color w:val="000000"/>
        </w:rPr>
        <w:t>,</w:t>
      </w:r>
      <w:r w:rsidR="00410645">
        <w:rPr>
          <w:rFonts w:ascii="Tahoma" w:hAnsi="Tahoma" w:cs="Tahoma"/>
          <w:color w:val="000000"/>
        </w:rPr>
        <w:t>6</w:t>
      </w:r>
      <w:r w:rsidRPr="009C3040">
        <w:rPr>
          <w:rFonts w:ascii="Tahoma" w:hAnsi="Tahoma" w:cs="Tahoma"/>
          <w:color w:val="000000"/>
        </w:rPr>
        <w:t xml:space="preserve"> χιλιάδες</w:t>
      </w:r>
      <w:r w:rsidR="009C3040" w:rsidRPr="009C3040">
        <w:rPr>
          <w:rFonts w:ascii="Tahoma" w:hAnsi="Tahoma" w:cs="Tahoma"/>
          <w:color w:val="000000"/>
        </w:rPr>
        <w:t>.</w:t>
      </w:r>
      <w:r w:rsidRPr="009C3040">
        <w:rPr>
          <w:rFonts w:ascii="Tahoma" w:hAnsi="Tahoma" w:cs="Tahoma"/>
          <w:color w:val="000000"/>
        </w:rPr>
        <w:t xml:space="preserve"> </w:t>
      </w:r>
      <w:r w:rsidR="009C3040" w:rsidRPr="009C3040">
        <w:rPr>
          <w:rFonts w:ascii="Tahoma" w:hAnsi="Tahoma" w:cs="Tahoma"/>
          <w:color w:val="000000"/>
        </w:rPr>
        <w:t>Τ</w:t>
      </w:r>
      <w:r w:rsidRPr="009C3040">
        <w:rPr>
          <w:rFonts w:ascii="Tahoma" w:hAnsi="Tahoma" w:cs="Tahoma"/>
          <w:color w:val="000000"/>
        </w:rPr>
        <w:t xml:space="preserve">ο μερίδιο των συνδρομητών </w:t>
      </w:r>
      <w:r w:rsidRPr="009C3040">
        <w:rPr>
          <w:rFonts w:ascii="Tahoma" w:hAnsi="Tahoma" w:cs="Tahoma"/>
          <w:color w:val="000000"/>
          <w:lang w:val="en-US"/>
        </w:rPr>
        <w:t>Nova</w:t>
      </w:r>
      <w:r w:rsidRPr="009C3040">
        <w:rPr>
          <w:rFonts w:ascii="Tahoma" w:hAnsi="Tahoma" w:cs="Tahoma"/>
          <w:color w:val="000000"/>
        </w:rPr>
        <w:t xml:space="preserve"> 3</w:t>
      </w:r>
      <w:r w:rsidRPr="009C3040">
        <w:rPr>
          <w:rFonts w:ascii="Tahoma" w:hAnsi="Tahoma" w:cs="Tahoma"/>
          <w:color w:val="000000"/>
          <w:lang w:val="en-US"/>
        </w:rPr>
        <w:t>Play</w:t>
      </w:r>
      <w:r w:rsidRPr="009C3040">
        <w:rPr>
          <w:rFonts w:ascii="Tahoma" w:hAnsi="Tahoma" w:cs="Tahoma"/>
          <w:color w:val="000000"/>
        </w:rPr>
        <w:t xml:space="preserve">, σε σχέση με το σύνολο της συνδρομητικής βάσης της </w:t>
      </w:r>
      <w:r w:rsidRPr="009C3040">
        <w:rPr>
          <w:rFonts w:ascii="Tahoma" w:hAnsi="Tahoma" w:cs="Tahoma"/>
          <w:color w:val="000000"/>
          <w:lang w:val="en-US"/>
        </w:rPr>
        <w:t>Forthnet</w:t>
      </w:r>
      <w:r w:rsidR="004402A4">
        <w:rPr>
          <w:rFonts w:ascii="Tahoma" w:hAnsi="Tahoma" w:cs="Tahoma"/>
          <w:color w:val="000000"/>
        </w:rPr>
        <w:t xml:space="preserve"> διαμορφώθηκε</w:t>
      </w:r>
      <w:r w:rsidR="009C3040" w:rsidRPr="009C3040">
        <w:rPr>
          <w:rFonts w:ascii="Tahoma" w:hAnsi="Tahoma" w:cs="Tahoma"/>
          <w:color w:val="000000"/>
        </w:rPr>
        <w:t xml:space="preserve"> στο 4</w:t>
      </w:r>
      <w:r w:rsidR="00410645">
        <w:rPr>
          <w:rFonts w:ascii="Tahoma" w:hAnsi="Tahoma" w:cs="Tahoma"/>
          <w:color w:val="000000"/>
        </w:rPr>
        <w:t>1</w:t>
      </w:r>
      <w:r w:rsidR="009C3040" w:rsidRPr="009C3040">
        <w:rPr>
          <w:rFonts w:ascii="Tahoma" w:hAnsi="Tahoma" w:cs="Tahoma"/>
          <w:color w:val="000000"/>
        </w:rPr>
        <w:t>,</w:t>
      </w:r>
      <w:r w:rsidR="00410645">
        <w:rPr>
          <w:rFonts w:ascii="Tahoma" w:hAnsi="Tahoma" w:cs="Tahoma"/>
          <w:color w:val="000000"/>
        </w:rPr>
        <w:t>9</w:t>
      </w:r>
      <w:r w:rsidR="009C3040" w:rsidRPr="009C3040">
        <w:rPr>
          <w:rFonts w:ascii="Tahoma" w:hAnsi="Tahoma" w:cs="Tahoma"/>
          <w:color w:val="000000"/>
        </w:rPr>
        <w:t>%.</w:t>
      </w:r>
    </w:p>
    <w:p w:rsidR="00105D2A" w:rsidRPr="00924993" w:rsidRDefault="00105D2A" w:rsidP="00105D2A">
      <w:pPr>
        <w:widowControl w:val="0"/>
        <w:autoSpaceDE w:val="0"/>
        <w:autoSpaceDN w:val="0"/>
        <w:adjustRightInd w:val="0"/>
        <w:jc w:val="both"/>
        <w:rPr>
          <w:rFonts w:ascii="Tahoma" w:hAnsi="Tahoma" w:cs="Tahoma"/>
          <w:color w:val="1A1A1A"/>
          <w:sz w:val="20"/>
          <w:szCs w:val="20"/>
          <w:highlight w:val="yellow"/>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2268"/>
        <w:gridCol w:w="2268"/>
        <w:gridCol w:w="1559"/>
      </w:tblGrid>
      <w:tr w:rsidR="0071333C" w:rsidRPr="00924993" w:rsidTr="00067287">
        <w:trPr>
          <w:trHeight w:hRule="exact" w:val="342"/>
        </w:trPr>
        <w:tc>
          <w:tcPr>
            <w:tcW w:w="4395" w:type="dxa"/>
            <w:tcBorders>
              <w:bottom w:val="single" w:sz="4" w:space="0" w:color="auto"/>
            </w:tcBorders>
            <w:shd w:val="clear" w:color="auto" w:fill="D9D9D9"/>
            <w:noWrap/>
            <w:vAlign w:val="center"/>
          </w:tcPr>
          <w:p w:rsidR="0071333C" w:rsidRPr="00924993" w:rsidRDefault="0071333C" w:rsidP="0071333C">
            <w:pPr>
              <w:rPr>
                <w:rFonts w:ascii="Tahoma" w:hAnsi="Tahoma" w:cs="Tahoma"/>
                <w:i/>
                <w:iCs/>
                <w:color w:val="000000"/>
                <w:szCs w:val="18"/>
              </w:rPr>
            </w:pPr>
          </w:p>
        </w:tc>
        <w:tc>
          <w:tcPr>
            <w:tcW w:w="2268" w:type="dxa"/>
            <w:tcBorders>
              <w:bottom w:val="single" w:sz="4" w:space="0" w:color="auto"/>
            </w:tcBorders>
            <w:shd w:val="clear" w:color="auto" w:fill="D9D9D9"/>
            <w:vAlign w:val="center"/>
          </w:tcPr>
          <w:p w:rsidR="0071333C" w:rsidRPr="00C24DFD" w:rsidRDefault="0071333C" w:rsidP="0071333C">
            <w:pPr>
              <w:jc w:val="center"/>
              <w:rPr>
                <w:rFonts w:ascii="Tahoma" w:hAnsi="Tahoma" w:cs="Tahoma"/>
                <w:b/>
                <w:bCs/>
                <w:color w:val="000000" w:themeColor="text1"/>
                <w:sz w:val="22"/>
                <w:szCs w:val="22"/>
                <w:lang w:val="en-US" w:eastAsia="en-US"/>
              </w:rPr>
            </w:pPr>
            <w:r>
              <w:rPr>
                <w:rFonts w:ascii="Tahoma" w:hAnsi="Tahoma" w:cs="Tahoma"/>
                <w:b/>
                <w:bCs/>
                <w:color w:val="000000" w:themeColor="text1"/>
                <w:sz w:val="22"/>
                <w:szCs w:val="22"/>
              </w:rPr>
              <w:t>12M 2016</w:t>
            </w:r>
          </w:p>
        </w:tc>
        <w:tc>
          <w:tcPr>
            <w:tcW w:w="2268" w:type="dxa"/>
            <w:tcBorders>
              <w:bottom w:val="single" w:sz="4" w:space="0" w:color="auto"/>
            </w:tcBorders>
            <w:shd w:val="clear" w:color="auto" w:fill="D9D9D9"/>
            <w:vAlign w:val="center"/>
          </w:tcPr>
          <w:p w:rsidR="0071333C" w:rsidRPr="00C24DFD" w:rsidRDefault="0071333C" w:rsidP="0071333C">
            <w:pPr>
              <w:jc w:val="center"/>
              <w:rPr>
                <w:rFonts w:ascii="Tahoma" w:hAnsi="Tahoma" w:cs="Tahoma"/>
                <w:b/>
                <w:bCs/>
                <w:color w:val="000000" w:themeColor="text1"/>
                <w:sz w:val="22"/>
                <w:szCs w:val="22"/>
              </w:rPr>
            </w:pPr>
            <w:r>
              <w:rPr>
                <w:rFonts w:ascii="Tahoma" w:hAnsi="Tahoma" w:cs="Tahoma"/>
                <w:b/>
                <w:bCs/>
                <w:color w:val="000000" w:themeColor="text1"/>
                <w:sz w:val="22"/>
                <w:szCs w:val="22"/>
              </w:rPr>
              <w:t>12M 2015</w:t>
            </w:r>
          </w:p>
        </w:tc>
        <w:tc>
          <w:tcPr>
            <w:tcW w:w="1559" w:type="dxa"/>
            <w:tcBorders>
              <w:bottom w:val="single" w:sz="4" w:space="0" w:color="auto"/>
            </w:tcBorders>
            <w:shd w:val="clear" w:color="auto" w:fill="D9D9D9"/>
            <w:vAlign w:val="center"/>
          </w:tcPr>
          <w:p w:rsidR="0071333C" w:rsidRDefault="0071333C" w:rsidP="0071333C">
            <w:pPr>
              <w:jc w:val="center"/>
              <w:rPr>
                <w:rFonts w:ascii="Tahoma" w:hAnsi="Tahoma" w:cs="Tahoma"/>
                <w:b/>
                <w:bCs/>
                <w:color w:val="000000"/>
                <w:sz w:val="22"/>
                <w:szCs w:val="22"/>
              </w:rPr>
            </w:pPr>
            <w:r>
              <w:rPr>
                <w:rFonts w:ascii="Tahoma" w:hAnsi="Tahoma" w:cs="Tahoma"/>
                <w:b/>
                <w:bCs/>
                <w:color w:val="000000"/>
                <w:sz w:val="22"/>
                <w:szCs w:val="22"/>
              </w:rPr>
              <w:t>Δ</w:t>
            </w:r>
          </w:p>
        </w:tc>
      </w:tr>
      <w:tr w:rsidR="0071333C" w:rsidRPr="00924993" w:rsidTr="00067287">
        <w:trPr>
          <w:trHeight w:hRule="exact" w:val="560"/>
        </w:trPr>
        <w:tc>
          <w:tcPr>
            <w:tcW w:w="4395" w:type="dxa"/>
            <w:shd w:val="clear" w:color="auto" w:fill="F2F2F2"/>
            <w:noWrap/>
            <w:vAlign w:val="center"/>
          </w:tcPr>
          <w:p w:rsidR="0071333C" w:rsidRPr="00924993" w:rsidRDefault="0071333C" w:rsidP="0071333C">
            <w:pPr>
              <w:rPr>
                <w:rFonts w:ascii="Tahoma" w:hAnsi="Tahoma" w:cs="Tahoma"/>
                <w:color w:val="000000"/>
              </w:rPr>
            </w:pPr>
            <w:r w:rsidRPr="00924993">
              <w:rPr>
                <w:rFonts w:ascii="Tahoma" w:hAnsi="Tahoma" w:cs="Tahoma"/>
                <w:color w:val="000000"/>
                <w:sz w:val="22"/>
              </w:rPr>
              <w:t xml:space="preserve">Νοικοκυριά με </w:t>
            </w:r>
            <w:r w:rsidRPr="00924993">
              <w:rPr>
                <w:rFonts w:ascii="Tahoma" w:hAnsi="Tahoma" w:cs="Tahoma"/>
                <w:color w:val="000000"/>
                <w:sz w:val="22"/>
                <w:lang w:val="en-US"/>
              </w:rPr>
              <w:t>Nova</w:t>
            </w:r>
            <w:r w:rsidRPr="00924993">
              <w:rPr>
                <w:rFonts w:ascii="Tahoma" w:hAnsi="Tahoma" w:cs="Tahoma"/>
                <w:color w:val="000000"/>
                <w:sz w:val="22"/>
              </w:rPr>
              <w:t xml:space="preserve"> 3</w:t>
            </w:r>
            <w:r w:rsidRPr="00924993">
              <w:rPr>
                <w:rFonts w:ascii="Tahoma" w:hAnsi="Tahoma" w:cs="Tahoma"/>
                <w:color w:val="000000"/>
                <w:sz w:val="22"/>
                <w:lang w:val="en-US"/>
              </w:rPr>
              <w:t>Play</w:t>
            </w:r>
            <w:r w:rsidRPr="00924993">
              <w:rPr>
                <w:rFonts w:ascii="Tahoma" w:hAnsi="Tahoma" w:cs="Tahoma"/>
                <w:color w:val="000000"/>
                <w:sz w:val="22"/>
              </w:rPr>
              <w:t>/συνδυαστικές υπηρεσίες</w:t>
            </w:r>
          </w:p>
        </w:tc>
        <w:tc>
          <w:tcPr>
            <w:tcW w:w="2268" w:type="dxa"/>
            <w:shd w:val="clear" w:color="auto" w:fill="F2F2F2"/>
            <w:noWrap/>
            <w:vAlign w:val="center"/>
          </w:tcPr>
          <w:p w:rsidR="0071333C" w:rsidRPr="0071333C" w:rsidRDefault="0071333C" w:rsidP="0071333C">
            <w:pPr>
              <w:jc w:val="center"/>
              <w:rPr>
                <w:rFonts w:ascii="Tahoma" w:hAnsi="Tahoma" w:cs="Tahoma"/>
                <w:color w:val="000000" w:themeColor="text1"/>
                <w:sz w:val="22"/>
                <w:szCs w:val="22"/>
                <w:lang w:val="en-US" w:eastAsia="en-US"/>
              </w:rPr>
            </w:pPr>
            <w:r w:rsidRPr="0071333C">
              <w:rPr>
                <w:rFonts w:ascii="Tahoma" w:hAnsi="Tahoma" w:cs="Tahoma"/>
                <w:color w:val="000000" w:themeColor="text1"/>
                <w:sz w:val="22"/>
                <w:szCs w:val="22"/>
              </w:rPr>
              <w:t>301.552</w:t>
            </w:r>
          </w:p>
        </w:tc>
        <w:tc>
          <w:tcPr>
            <w:tcW w:w="2268"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346.322</w:t>
            </w:r>
          </w:p>
        </w:tc>
        <w:tc>
          <w:tcPr>
            <w:tcW w:w="1559"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-12,9%</w:t>
            </w:r>
          </w:p>
        </w:tc>
      </w:tr>
      <w:tr w:rsidR="0071333C" w:rsidRPr="00924993" w:rsidTr="00067287">
        <w:trPr>
          <w:trHeight w:hRule="exact" w:val="736"/>
        </w:trPr>
        <w:tc>
          <w:tcPr>
            <w:tcW w:w="4395" w:type="dxa"/>
            <w:shd w:val="clear" w:color="auto" w:fill="F2F2F2"/>
            <w:noWrap/>
            <w:vAlign w:val="center"/>
          </w:tcPr>
          <w:p w:rsidR="0071333C" w:rsidRPr="00924993" w:rsidRDefault="0071333C" w:rsidP="0071333C">
            <w:pPr>
              <w:rPr>
                <w:rFonts w:ascii="Tahoma" w:hAnsi="Tahoma" w:cs="Tahoma"/>
                <w:color w:val="000000"/>
              </w:rPr>
            </w:pPr>
            <w:r w:rsidRPr="00924993">
              <w:rPr>
                <w:rFonts w:ascii="Tahoma" w:hAnsi="Tahoma" w:cs="Tahoma"/>
                <w:color w:val="000000"/>
                <w:sz w:val="22"/>
              </w:rPr>
              <w:t xml:space="preserve">Ποσοστό νοικοκυριών με </w:t>
            </w:r>
            <w:r w:rsidRPr="00924993">
              <w:rPr>
                <w:rFonts w:ascii="Tahoma" w:hAnsi="Tahoma" w:cs="Tahoma"/>
                <w:color w:val="000000"/>
                <w:sz w:val="22"/>
                <w:lang w:val="en-US"/>
              </w:rPr>
              <w:t>Nova</w:t>
            </w:r>
            <w:r w:rsidRPr="00924993">
              <w:rPr>
                <w:rFonts w:ascii="Tahoma" w:hAnsi="Tahoma" w:cs="Tahoma"/>
                <w:color w:val="000000"/>
                <w:sz w:val="22"/>
              </w:rPr>
              <w:t xml:space="preserve"> 3</w:t>
            </w:r>
            <w:r w:rsidRPr="00924993">
              <w:rPr>
                <w:rFonts w:ascii="Tahoma" w:hAnsi="Tahoma" w:cs="Tahoma"/>
                <w:color w:val="000000"/>
                <w:sz w:val="22"/>
                <w:lang w:val="en-US"/>
              </w:rPr>
              <w:t>Play</w:t>
            </w:r>
            <w:r w:rsidRPr="00924993">
              <w:rPr>
                <w:rFonts w:ascii="Tahoma" w:hAnsi="Tahoma" w:cs="Tahoma"/>
                <w:color w:val="000000"/>
                <w:sz w:val="22"/>
              </w:rPr>
              <w:t>/συνδυαστικές υπηρεσίες</w:t>
            </w:r>
          </w:p>
        </w:tc>
        <w:tc>
          <w:tcPr>
            <w:tcW w:w="2268" w:type="dxa"/>
            <w:shd w:val="clear" w:color="auto" w:fill="F2F2F2"/>
            <w:noWrap/>
            <w:vAlign w:val="center"/>
          </w:tcPr>
          <w:p w:rsidR="0071333C" w:rsidRPr="0071333C" w:rsidRDefault="0071333C" w:rsidP="0071333C">
            <w:pPr>
              <w:jc w:val="center"/>
              <w:rPr>
                <w:rFonts w:ascii="Tahoma" w:hAnsi="Tahoma" w:cs="Tahoma"/>
                <w:bCs/>
                <w:color w:val="000000" w:themeColor="text1"/>
                <w:sz w:val="22"/>
                <w:szCs w:val="22"/>
              </w:rPr>
            </w:pPr>
            <w:r w:rsidRPr="0071333C">
              <w:rPr>
                <w:rFonts w:ascii="Tahoma" w:hAnsi="Tahoma" w:cs="Tahoma"/>
                <w:bCs/>
                <w:color w:val="000000" w:themeColor="text1"/>
                <w:sz w:val="22"/>
                <w:szCs w:val="22"/>
              </w:rPr>
              <w:t>41,91%</w:t>
            </w:r>
          </w:p>
        </w:tc>
        <w:tc>
          <w:tcPr>
            <w:tcW w:w="2268" w:type="dxa"/>
            <w:shd w:val="clear" w:color="auto" w:fill="F2F2F2"/>
            <w:vAlign w:val="center"/>
          </w:tcPr>
          <w:p w:rsidR="0071333C" w:rsidRPr="0071333C" w:rsidRDefault="0071333C" w:rsidP="0071333C">
            <w:pPr>
              <w:jc w:val="center"/>
              <w:rPr>
                <w:rFonts w:ascii="Tahoma" w:hAnsi="Tahoma" w:cs="Tahoma"/>
                <w:bCs/>
                <w:color w:val="000000" w:themeColor="text1"/>
                <w:sz w:val="22"/>
                <w:szCs w:val="22"/>
              </w:rPr>
            </w:pPr>
            <w:r w:rsidRPr="0071333C">
              <w:rPr>
                <w:rFonts w:ascii="Tahoma" w:hAnsi="Tahoma" w:cs="Tahoma"/>
                <w:bCs/>
                <w:color w:val="000000" w:themeColor="text1"/>
                <w:sz w:val="22"/>
                <w:szCs w:val="22"/>
              </w:rPr>
              <w:t>43,89%</w:t>
            </w:r>
          </w:p>
        </w:tc>
        <w:tc>
          <w:tcPr>
            <w:tcW w:w="1559" w:type="dxa"/>
            <w:shd w:val="clear" w:color="auto" w:fill="F2F2F2"/>
            <w:vAlign w:val="center"/>
          </w:tcPr>
          <w:p w:rsidR="0071333C" w:rsidRPr="0071333C" w:rsidRDefault="0071333C" w:rsidP="0071333C">
            <w:pPr>
              <w:jc w:val="center"/>
              <w:rPr>
                <w:rFonts w:ascii="Tahoma" w:hAnsi="Tahoma" w:cs="Tahoma"/>
                <w:bCs/>
                <w:color w:val="000000" w:themeColor="text1"/>
                <w:sz w:val="22"/>
                <w:szCs w:val="22"/>
              </w:rPr>
            </w:pPr>
            <w:r w:rsidRPr="0071333C">
              <w:rPr>
                <w:rFonts w:ascii="Tahoma" w:hAnsi="Tahoma" w:cs="Tahoma"/>
                <w:bCs/>
                <w:color w:val="000000" w:themeColor="text1"/>
                <w:sz w:val="22"/>
                <w:szCs w:val="22"/>
              </w:rPr>
              <w:t>-1,99</w:t>
            </w:r>
            <w:r>
              <w:rPr>
                <w:rFonts w:ascii="Tahoma" w:hAnsi="Tahoma" w:cs="Tahoma"/>
                <w:bCs/>
                <w:color w:val="000000" w:themeColor="text1"/>
                <w:sz w:val="22"/>
                <w:szCs w:val="22"/>
              </w:rPr>
              <w:t>π.μ.</w:t>
            </w:r>
          </w:p>
        </w:tc>
      </w:tr>
    </w:tbl>
    <w:p w:rsidR="00064773" w:rsidRPr="00924993" w:rsidRDefault="00064773" w:rsidP="00105D2A">
      <w:pPr>
        <w:jc w:val="both"/>
        <w:rPr>
          <w:rFonts w:ascii="Tahoma" w:hAnsi="Tahoma" w:cs="Tahoma"/>
          <w:b/>
          <w:bCs/>
          <w:sz w:val="20"/>
          <w:szCs w:val="20"/>
          <w:highlight w:val="yellow"/>
        </w:rPr>
      </w:pPr>
    </w:p>
    <w:p w:rsidR="00DA1B17" w:rsidRDefault="00DA1B17" w:rsidP="008273A8">
      <w:pPr>
        <w:jc w:val="both"/>
        <w:rPr>
          <w:rFonts w:ascii="Tahoma" w:hAnsi="Tahoma" w:cs="Tahoma"/>
          <w:b/>
          <w:bCs/>
          <w:sz w:val="32"/>
          <w:szCs w:val="32"/>
        </w:rPr>
      </w:pPr>
      <w:r w:rsidRPr="00D570CD">
        <w:rPr>
          <w:rFonts w:ascii="Tahoma" w:hAnsi="Tahoma" w:cs="Tahoma"/>
          <w:b/>
          <w:bCs/>
          <w:sz w:val="32"/>
          <w:szCs w:val="32"/>
        </w:rPr>
        <w:t>Τηλεπικοινωνιακές Υπηρεσίες</w:t>
      </w:r>
    </w:p>
    <w:p w:rsidR="0069534D" w:rsidRPr="00067287" w:rsidRDefault="0069534D" w:rsidP="00D570CD">
      <w:pPr>
        <w:jc w:val="both"/>
        <w:rPr>
          <w:rFonts w:ascii="Tahoma" w:hAnsi="Tahoma" w:cs="Tahoma"/>
          <w:b/>
          <w:bCs/>
        </w:rPr>
      </w:pPr>
    </w:p>
    <w:p w:rsidR="00D570CD" w:rsidRPr="00C30EAB" w:rsidRDefault="00D570CD" w:rsidP="00D570CD">
      <w:pPr>
        <w:jc w:val="both"/>
        <w:rPr>
          <w:rFonts w:ascii="Tahoma" w:hAnsi="Tahoma" w:cs="Tahoma"/>
        </w:rPr>
      </w:pPr>
      <w:r w:rsidRPr="0095142E">
        <w:rPr>
          <w:rFonts w:ascii="Tahoma" w:hAnsi="Tahoma" w:cs="Tahoma"/>
        </w:rPr>
        <w:t xml:space="preserve">Κατά το </w:t>
      </w:r>
      <w:r w:rsidR="0095142E" w:rsidRPr="0095142E">
        <w:rPr>
          <w:rFonts w:ascii="Tahoma" w:hAnsi="Tahoma" w:cs="Tahoma"/>
        </w:rPr>
        <w:t xml:space="preserve">δωδεκάμηνο </w:t>
      </w:r>
      <w:r w:rsidR="0091116A">
        <w:rPr>
          <w:rFonts w:ascii="Tahoma" w:hAnsi="Tahoma" w:cs="Tahoma"/>
        </w:rPr>
        <w:t>του 2016</w:t>
      </w:r>
      <w:r w:rsidRPr="0095142E">
        <w:rPr>
          <w:rFonts w:ascii="Tahoma" w:hAnsi="Tahoma" w:cs="Tahoma"/>
        </w:rPr>
        <w:t xml:space="preserve"> </w:t>
      </w:r>
      <w:r w:rsidR="00064773">
        <w:rPr>
          <w:rFonts w:ascii="Tahoma" w:hAnsi="Tahoma" w:cs="Tahoma"/>
        </w:rPr>
        <w:t xml:space="preserve">οι ενεργοί συνδρομητές </w:t>
      </w:r>
      <w:r w:rsidR="00064773">
        <w:rPr>
          <w:rFonts w:ascii="Tahoma" w:hAnsi="Tahoma" w:cs="Tahoma"/>
          <w:lang w:val="en-US"/>
        </w:rPr>
        <w:t>LLU</w:t>
      </w:r>
      <w:r w:rsidR="00064773" w:rsidRPr="003B665C">
        <w:rPr>
          <w:rFonts w:ascii="Tahoma" w:hAnsi="Tahoma" w:cs="Tahoma"/>
        </w:rPr>
        <w:t xml:space="preserve"> </w:t>
      </w:r>
      <w:r w:rsidR="00064773">
        <w:rPr>
          <w:rFonts w:ascii="Tahoma" w:hAnsi="Tahoma" w:cs="Tahoma"/>
        </w:rPr>
        <w:t>μειώθηκαν στους 565</w:t>
      </w:r>
      <w:r w:rsidR="00064773" w:rsidRPr="005F3B86">
        <w:rPr>
          <w:rFonts w:ascii="Tahoma" w:hAnsi="Tahoma" w:cs="Tahoma"/>
        </w:rPr>
        <w:t>,</w:t>
      </w:r>
      <w:r w:rsidR="00064773">
        <w:rPr>
          <w:rFonts w:ascii="Tahoma" w:hAnsi="Tahoma" w:cs="Tahoma"/>
        </w:rPr>
        <w:t>1 χιλιάδες</w:t>
      </w:r>
      <w:r w:rsidR="007E354D">
        <w:rPr>
          <w:rFonts w:ascii="Tahoma" w:hAnsi="Tahoma" w:cs="Tahoma"/>
        </w:rPr>
        <w:t>.</w:t>
      </w:r>
    </w:p>
    <w:p w:rsidR="00DA1B17" w:rsidRPr="00924993" w:rsidRDefault="00DA1B17" w:rsidP="008273A8">
      <w:pPr>
        <w:jc w:val="both"/>
        <w:rPr>
          <w:rFonts w:ascii="Tahoma" w:hAnsi="Tahoma" w:cs="Tahoma"/>
          <w:highlight w:val="yellow"/>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6"/>
        <w:gridCol w:w="2268"/>
        <w:gridCol w:w="2268"/>
        <w:gridCol w:w="1588"/>
      </w:tblGrid>
      <w:tr w:rsidR="0071333C" w:rsidRPr="00924993" w:rsidTr="00067287">
        <w:trPr>
          <w:trHeight w:hRule="exact" w:val="340"/>
        </w:trPr>
        <w:tc>
          <w:tcPr>
            <w:tcW w:w="4366" w:type="dxa"/>
            <w:tcBorders>
              <w:bottom w:val="single" w:sz="4" w:space="0" w:color="auto"/>
            </w:tcBorders>
            <w:shd w:val="clear" w:color="auto" w:fill="D9D9D9"/>
            <w:vAlign w:val="center"/>
          </w:tcPr>
          <w:p w:rsidR="0071333C" w:rsidRPr="00924993" w:rsidRDefault="0071333C" w:rsidP="0071333C">
            <w:pPr>
              <w:rPr>
                <w:rFonts w:ascii="Tahoma" w:hAnsi="Tahoma" w:cs="Tahoma"/>
                <w:b/>
                <w:bCs/>
                <w:color w:val="000000"/>
              </w:rPr>
            </w:pPr>
            <w:bookmarkStart w:id="0" w:name="_GoBack"/>
          </w:p>
        </w:tc>
        <w:tc>
          <w:tcPr>
            <w:tcW w:w="2268" w:type="dxa"/>
            <w:tcBorders>
              <w:bottom w:val="single" w:sz="4" w:space="0" w:color="auto"/>
            </w:tcBorders>
            <w:shd w:val="clear" w:color="auto" w:fill="D9D9D9"/>
            <w:vAlign w:val="center"/>
          </w:tcPr>
          <w:p w:rsidR="0071333C" w:rsidRPr="00C24DFD" w:rsidRDefault="0071333C" w:rsidP="0071333C">
            <w:pPr>
              <w:jc w:val="center"/>
              <w:rPr>
                <w:rFonts w:ascii="Tahoma" w:hAnsi="Tahoma" w:cs="Tahoma"/>
                <w:b/>
                <w:bCs/>
                <w:color w:val="000000" w:themeColor="text1"/>
                <w:sz w:val="22"/>
                <w:szCs w:val="22"/>
                <w:lang w:val="en-US" w:eastAsia="en-US"/>
              </w:rPr>
            </w:pPr>
            <w:r>
              <w:rPr>
                <w:rFonts w:ascii="Tahoma" w:hAnsi="Tahoma" w:cs="Tahoma"/>
                <w:b/>
                <w:bCs/>
                <w:color w:val="000000" w:themeColor="text1"/>
                <w:sz w:val="22"/>
                <w:szCs w:val="22"/>
              </w:rPr>
              <w:t>12M 2016</w:t>
            </w:r>
          </w:p>
        </w:tc>
        <w:tc>
          <w:tcPr>
            <w:tcW w:w="2268" w:type="dxa"/>
            <w:tcBorders>
              <w:bottom w:val="single" w:sz="4" w:space="0" w:color="auto"/>
            </w:tcBorders>
            <w:shd w:val="clear" w:color="auto" w:fill="D9D9D9"/>
            <w:vAlign w:val="center"/>
          </w:tcPr>
          <w:p w:rsidR="0071333C" w:rsidRPr="00C24DFD" w:rsidRDefault="0071333C" w:rsidP="0071333C">
            <w:pPr>
              <w:jc w:val="center"/>
              <w:rPr>
                <w:rFonts w:ascii="Tahoma" w:hAnsi="Tahoma" w:cs="Tahoma"/>
                <w:b/>
                <w:bCs/>
                <w:color w:val="000000" w:themeColor="text1"/>
                <w:sz w:val="22"/>
                <w:szCs w:val="22"/>
              </w:rPr>
            </w:pPr>
            <w:r>
              <w:rPr>
                <w:rFonts w:ascii="Tahoma" w:hAnsi="Tahoma" w:cs="Tahoma"/>
                <w:b/>
                <w:bCs/>
                <w:color w:val="000000" w:themeColor="text1"/>
                <w:sz w:val="22"/>
                <w:szCs w:val="22"/>
              </w:rPr>
              <w:t>12M 2015</w:t>
            </w:r>
          </w:p>
        </w:tc>
        <w:tc>
          <w:tcPr>
            <w:tcW w:w="1588" w:type="dxa"/>
            <w:tcBorders>
              <w:bottom w:val="single" w:sz="4" w:space="0" w:color="auto"/>
            </w:tcBorders>
            <w:shd w:val="clear" w:color="auto" w:fill="D9D9D9"/>
            <w:vAlign w:val="center"/>
          </w:tcPr>
          <w:p w:rsidR="0071333C" w:rsidRPr="0095142E" w:rsidRDefault="0071333C" w:rsidP="0071333C">
            <w:pPr>
              <w:jc w:val="center"/>
              <w:rPr>
                <w:rFonts w:ascii="Tahoma" w:hAnsi="Tahoma" w:cs="Tahoma"/>
                <w:b/>
                <w:bCs/>
                <w:color w:val="000000"/>
                <w:sz w:val="22"/>
                <w:szCs w:val="22"/>
              </w:rPr>
            </w:pPr>
            <w:r w:rsidRPr="00037A0D">
              <w:rPr>
                <w:rFonts w:ascii="Tahoma" w:hAnsi="Tahoma" w:cs="Tahoma"/>
                <w:b/>
                <w:bCs/>
                <w:color w:val="000000"/>
                <w:sz w:val="22"/>
                <w:szCs w:val="22"/>
              </w:rPr>
              <w:t>Δ</w:t>
            </w:r>
          </w:p>
        </w:tc>
      </w:tr>
      <w:bookmarkEnd w:id="0"/>
      <w:tr w:rsidR="0071333C" w:rsidRPr="00924993" w:rsidTr="00067287">
        <w:trPr>
          <w:trHeight w:hRule="exact" w:val="340"/>
        </w:trPr>
        <w:tc>
          <w:tcPr>
            <w:tcW w:w="4366" w:type="dxa"/>
            <w:shd w:val="clear" w:color="auto" w:fill="F2F2F2"/>
            <w:vAlign w:val="center"/>
          </w:tcPr>
          <w:p w:rsidR="0071333C" w:rsidRPr="0095142E" w:rsidRDefault="0071333C" w:rsidP="0071333C">
            <w:pPr>
              <w:rPr>
                <w:rFonts w:ascii="Tahoma" w:hAnsi="Tahoma" w:cs="Tahoma"/>
                <w:color w:val="000000"/>
              </w:rPr>
            </w:pPr>
            <w:r w:rsidRPr="00924993">
              <w:rPr>
                <w:rFonts w:ascii="Tahoma" w:hAnsi="Tahoma" w:cs="Tahoma"/>
                <w:color w:val="000000"/>
                <w:sz w:val="22"/>
              </w:rPr>
              <w:t xml:space="preserve">Συνδρομητές </w:t>
            </w:r>
            <w:r w:rsidRPr="00924993">
              <w:rPr>
                <w:rFonts w:ascii="Tahoma" w:hAnsi="Tahoma" w:cs="Tahoma"/>
                <w:color w:val="000000"/>
                <w:sz w:val="22"/>
                <w:lang w:val="en-US"/>
              </w:rPr>
              <w:t>Broadband</w:t>
            </w:r>
            <w:r w:rsidRPr="00924993">
              <w:rPr>
                <w:rStyle w:val="FootnoteReference"/>
                <w:rFonts w:ascii="Tahoma" w:hAnsi="Tahoma" w:cs="Tahoma"/>
                <w:color w:val="000000"/>
                <w:sz w:val="22"/>
              </w:rPr>
              <w:footnoteReference w:id="1"/>
            </w:r>
          </w:p>
        </w:tc>
        <w:tc>
          <w:tcPr>
            <w:tcW w:w="2268" w:type="dxa"/>
            <w:shd w:val="clear" w:color="auto" w:fill="F2F2F2"/>
            <w:vAlign w:val="center"/>
          </w:tcPr>
          <w:p w:rsidR="0071333C" w:rsidRPr="0071333C" w:rsidRDefault="0071333C" w:rsidP="0071333C">
            <w:pPr>
              <w:jc w:val="center"/>
              <w:rPr>
                <w:rFonts w:ascii="Tahoma" w:hAnsi="Tahoma" w:cs="Tahoma"/>
                <w:color w:val="000000" w:themeColor="text1"/>
                <w:sz w:val="22"/>
                <w:szCs w:val="22"/>
                <w:lang w:val="en-US" w:eastAsia="en-US"/>
              </w:rPr>
            </w:pPr>
            <w:r w:rsidRPr="0071333C">
              <w:rPr>
                <w:rFonts w:ascii="Tahoma" w:hAnsi="Tahoma" w:cs="Tahoma"/>
                <w:color w:val="000000" w:themeColor="text1"/>
                <w:sz w:val="22"/>
                <w:szCs w:val="22"/>
              </w:rPr>
              <w:t>581.739</w:t>
            </w:r>
          </w:p>
        </w:tc>
        <w:tc>
          <w:tcPr>
            <w:tcW w:w="2268"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640.689</w:t>
            </w:r>
          </w:p>
        </w:tc>
        <w:tc>
          <w:tcPr>
            <w:tcW w:w="1588"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-9,2%</w:t>
            </w:r>
          </w:p>
        </w:tc>
      </w:tr>
      <w:tr w:rsidR="0071333C" w:rsidRPr="00924993" w:rsidTr="00067287">
        <w:trPr>
          <w:trHeight w:hRule="exact" w:val="340"/>
        </w:trPr>
        <w:tc>
          <w:tcPr>
            <w:tcW w:w="4366" w:type="dxa"/>
            <w:shd w:val="clear" w:color="auto" w:fill="F2F2F2"/>
            <w:vAlign w:val="center"/>
          </w:tcPr>
          <w:p w:rsidR="0071333C" w:rsidRPr="00690A66" w:rsidRDefault="0071333C" w:rsidP="0071333C">
            <w:pPr>
              <w:rPr>
                <w:rFonts w:ascii="Tahoma" w:hAnsi="Tahoma" w:cs="Tahoma"/>
                <w:bCs/>
                <w:color w:val="000000"/>
              </w:rPr>
            </w:pPr>
            <w:r w:rsidRPr="00690A66">
              <w:rPr>
                <w:rFonts w:ascii="Tahoma" w:hAnsi="Tahoma" w:cs="Tahoma"/>
                <w:bCs/>
                <w:color w:val="000000"/>
                <w:sz w:val="22"/>
              </w:rPr>
              <w:t xml:space="preserve">Ενεργοί συνδρομητές </w:t>
            </w:r>
            <w:r w:rsidRPr="00690A66">
              <w:rPr>
                <w:rFonts w:ascii="Tahoma" w:hAnsi="Tahoma" w:cs="Tahoma"/>
                <w:bCs/>
                <w:color w:val="000000"/>
                <w:sz w:val="22"/>
                <w:lang w:val="en-US"/>
              </w:rPr>
              <w:t>LLU</w:t>
            </w:r>
          </w:p>
        </w:tc>
        <w:tc>
          <w:tcPr>
            <w:tcW w:w="2268" w:type="dxa"/>
            <w:shd w:val="clear" w:color="auto" w:fill="F2F2F2"/>
            <w:noWrap/>
            <w:vAlign w:val="center"/>
          </w:tcPr>
          <w:p w:rsidR="0071333C" w:rsidRPr="00690A66" w:rsidRDefault="0071333C" w:rsidP="0071333C">
            <w:pPr>
              <w:jc w:val="center"/>
              <w:rPr>
                <w:rFonts w:ascii="Tahoma" w:hAnsi="Tahoma" w:cs="Tahoma"/>
                <w:bCs/>
                <w:color w:val="000000" w:themeColor="text1"/>
                <w:sz w:val="22"/>
                <w:szCs w:val="22"/>
              </w:rPr>
            </w:pPr>
            <w:r w:rsidRPr="00690A66">
              <w:rPr>
                <w:rFonts w:ascii="Tahoma" w:hAnsi="Tahoma" w:cs="Tahoma"/>
                <w:bCs/>
                <w:color w:val="000000" w:themeColor="text1"/>
                <w:sz w:val="22"/>
                <w:szCs w:val="22"/>
              </w:rPr>
              <w:t>565.051</w:t>
            </w:r>
          </w:p>
        </w:tc>
        <w:tc>
          <w:tcPr>
            <w:tcW w:w="2268" w:type="dxa"/>
            <w:shd w:val="clear" w:color="auto" w:fill="F2F2F2"/>
            <w:vAlign w:val="center"/>
          </w:tcPr>
          <w:p w:rsidR="0071333C" w:rsidRPr="00690A66" w:rsidRDefault="0071333C" w:rsidP="0071333C">
            <w:pPr>
              <w:jc w:val="center"/>
              <w:rPr>
                <w:rFonts w:ascii="Tahoma" w:hAnsi="Tahoma" w:cs="Tahoma"/>
                <w:bCs/>
                <w:color w:val="000000" w:themeColor="text1"/>
                <w:sz w:val="22"/>
                <w:szCs w:val="22"/>
              </w:rPr>
            </w:pPr>
            <w:r w:rsidRPr="00690A66">
              <w:rPr>
                <w:rFonts w:ascii="Tahoma" w:hAnsi="Tahoma" w:cs="Tahoma"/>
                <w:bCs/>
                <w:color w:val="000000" w:themeColor="text1"/>
                <w:sz w:val="22"/>
                <w:szCs w:val="22"/>
              </w:rPr>
              <w:t>620.494</w:t>
            </w:r>
          </w:p>
        </w:tc>
        <w:tc>
          <w:tcPr>
            <w:tcW w:w="1588"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-8,9%</w:t>
            </w:r>
          </w:p>
        </w:tc>
      </w:tr>
      <w:tr w:rsidR="0071333C" w:rsidRPr="00924993" w:rsidTr="00067287">
        <w:trPr>
          <w:trHeight w:hRule="exact" w:val="340"/>
        </w:trPr>
        <w:tc>
          <w:tcPr>
            <w:tcW w:w="4366" w:type="dxa"/>
            <w:shd w:val="clear" w:color="auto" w:fill="F2F2F2"/>
            <w:vAlign w:val="center"/>
          </w:tcPr>
          <w:p w:rsidR="0071333C" w:rsidRPr="0095142E" w:rsidRDefault="0071333C" w:rsidP="0071333C">
            <w:pPr>
              <w:rPr>
                <w:rFonts w:ascii="Tahoma" w:hAnsi="Tahoma" w:cs="Tahoma"/>
                <w:color w:val="000000"/>
              </w:rPr>
            </w:pPr>
            <w:r w:rsidRPr="00924993">
              <w:rPr>
                <w:rFonts w:ascii="Tahoma" w:hAnsi="Tahoma" w:cs="Tahoma"/>
                <w:color w:val="000000"/>
                <w:sz w:val="22"/>
              </w:rPr>
              <w:t xml:space="preserve">Ποσοστό </w:t>
            </w:r>
            <w:r w:rsidRPr="00924993">
              <w:rPr>
                <w:rFonts w:ascii="Tahoma" w:hAnsi="Tahoma" w:cs="Tahoma"/>
                <w:color w:val="000000"/>
                <w:sz w:val="22"/>
                <w:lang w:val="en-US"/>
              </w:rPr>
              <w:t>LLU</w:t>
            </w:r>
          </w:p>
        </w:tc>
        <w:tc>
          <w:tcPr>
            <w:tcW w:w="2268"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97,1%</w:t>
            </w:r>
          </w:p>
        </w:tc>
        <w:tc>
          <w:tcPr>
            <w:tcW w:w="2268"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96,8%</w:t>
            </w:r>
          </w:p>
        </w:tc>
        <w:tc>
          <w:tcPr>
            <w:tcW w:w="1588"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0,28</w:t>
            </w:r>
            <w:r>
              <w:rPr>
                <w:rFonts w:ascii="Tahoma" w:hAnsi="Tahoma" w:cs="Tahoma"/>
                <w:color w:val="000000" w:themeColor="text1"/>
                <w:sz w:val="22"/>
                <w:szCs w:val="22"/>
              </w:rPr>
              <w:t>π.μ.</w:t>
            </w:r>
          </w:p>
        </w:tc>
      </w:tr>
      <w:tr w:rsidR="0071333C" w:rsidRPr="00924993" w:rsidTr="00067287">
        <w:trPr>
          <w:trHeight w:hRule="exact" w:val="340"/>
        </w:trPr>
        <w:tc>
          <w:tcPr>
            <w:tcW w:w="4366" w:type="dxa"/>
            <w:shd w:val="clear" w:color="auto" w:fill="F2F2F2"/>
            <w:vAlign w:val="center"/>
          </w:tcPr>
          <w:p w:rsidR="0071333C" w:rsidRPr="00924993" w:rsidRDefault="0071333C" w:rsidP="0071333C">
            <w:pPr>
              <w:rPr>
                <w:rFonts w:ascii="Tahoma" w:hAnsi="Tahoma" w:cs="Tahoma"/>
                <w:color w:val="000000"/>
              </w:rPr>
            </w:pPr>
            <w:r w:rsidRPr="00924993">
              <w:rPr>
                <w:rFonts w:ascii="Tahoma" w:hAnsi="Tahoma" w:cs="Tahoma"/>
                <w:color w:val="000000"/>
                <w:sz w:val="22"/>
              </w:rPr>
              <w:t>Συνολικό μερίδιο αγοράς LLU</w:t>
            </w:r>
          </w:p>
        </w:tc>
        <w:tc>
          <w:tcPr>
            <w:tcW w:w="2268" w:type="dxa"/>
            <w:shd w:val="clear" w:color="auto" w:fill="F2F2F2"/>
            <w:noWrap/>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27,1%</w:t>
            </w:r>
          </w:p>
        </w:tc>
        <w:tc>
          <w:tcPr>
            <w:tcW w:w="2268"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30,2%</w:t>
            </w:r>
          </w:p>
        </w:tc>
        <w:tc>
          <w:tcPr>
            <w:tcW w:w="1588"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-3,10</w:t>
            </w:r>
            <w:r>
              <w:rPr>
                <w:rFonts w:ascii="Tahoma" w:hAnsi="Tahoma" w:cs="Tahoma"/>
                <w:color w:val="000000" w:themeColor="text1"/>
                <w:sz w:val="22"/>
                <w:szCs w:val="22"/>
              </w:rPr>
              <w:t>π.μ.</w:t>
            </w:r>
          </w:p>
        </w:tc>
      </w:tr>
    </w:tbl>
    <w:p w:rsidR="00064773" w:rsidRPr="00924993" w:rsidRDefault="00064773" w:rsidP="008273A8">
      <w:pPr>
        <w:jc w:val="both"/>
        <w:rPr>
          <w:rFonts w:ascii="Tahoma" w:hAnsi="Tahoma" w:cs="Tahoma"/>
          <w:highlight w:val="yellow"/>
        </w:rPr>
      </w:pPr>
    </w:p>
    <w:p w:rsidR="00DA1B17" w:rsidRDefault="00DA1B17" w:rsidP="00DD3F9D">
      <w:pPr>
        <w:jc w:val="both"/>
        <w:rPr>
          <w:rFonts w:ascii="Tahoma" w:hAnsi="Tahoma" w:cs="Tahoma"/>
          <w:b/>
          <w:bCs/>
          <w:sz w:val="32"/>
          <w:szCs w:val="32"/>
        </w:rPr>
      </w:pPr>
      <w:r w:rsidRPr="00575E94">
        <w:rPr>
          <w:rFonts w:ascii="Tahoma" w:hAnsi="Tahoma" w:cs="Tahoma"/>
          <w:b/>
          <w:bCs/>
          <w:sz w:val="32"/>
          <w:szCs w:val="32"/>
        </w:rPr>
        <w:t>Υπηρεσίες Συνδρομητικής Τηλεόρασης</w:t>
      </w:r>
    </w:p>
    <w:p w:rsidR="00530C5C" w:rsidRPr="00067287" w:rsidRDefault="00530C5C" w:rsidP="00DD3F9D">
      <w:pPr>
        <w:jc w:val="both"/>
        <w:rPr>
          <w:rFonts w:ascii="Tahoma" w:hAnsi="Tahoma" w:cs="Tahoma"/>
        </w:rPr>
      </w:pPr>
    </w:p>
    <w:p w:rsidR="00934437" w:rsidRDefault="00DA1B17" w:rsidP="00DD3F9D">
      <w:pPr>
        <w:tabs>
          <w:tab w:val="left" w:pos="142"/>
        </w:tabs>
        <w:jc w:val="both"/>
        <w:rPr>
          <w:rFonts w:ascii="Tahoma" w:hAnsi="Tahoma" w:cs="Tahoma"/>
        </w:rPr>
      </w:pPr>
      <w:r w:rsidRPr="00242912">
        <w:rPr>
          <w:rFonts w:ascii="Tahoma" w:hAnsi="Tahoma" w:cs="Tahoma"/>
        </w:rPr>
        <w:t>Στο</w:t>
      </w:r>
      <w:r w:rsidR="00433567" w:rsidRPr="00242912">
        <w:rPr>
          <w:rFonts w:ascii="Tahoma" w:hAnsi="Tahoma" w:cs="Tahoma"/>
        </w:rPr>
        <w:t xml:space="preserve"> </w:t>
      </w:r>
      <w:r w:rsidR="0077587A" w:rsidRPr="00242912">
        <w:rPr>
          <w:rFonts w:ascii="Tahoma" w:hAnsi="Tahoma" w:cs="Tahoma"/>
        </w:rPr>
        <w:t>τέλ</w:t>
      </w:r>
      <w:r w:rsidR="00110E66" w:rsidRPr="00242912">
        <w:rPr>
          <w:rFonts w:ascii="Tahoma" w:hAnsi="Tahoma" w:cs="Tahoma"/>
        </w:rPr>
        <w:t>ος</w:t>
      </w:r>
      <w:r w:rsidRPr="00242912">
        <w:rPr>
          <w:rFonts w:ascii="Tahoma" w:hAnsi="Tahoma" w:cs="Tahoma"/>
        </w:rPr>
        <w:t xml:space="preserve"> του </w:t>
      </w:r>
      <w:r w:rsidR="00064773">
        <w:rPr>
          <w:rFonts w:ascii="Tahoma" w:hAnsi="Tahoma" w:cs="Tahoma"/>
        </w:rPr>
        <w:t>2016</w:t>
      </w:r>
      <w:r w:rsidRPr="00242912">
        <w:rPr>
          <w:rFonts w:ascii="Tahoma" w:hAnsi="Tahoma" w:cs="Tahoma"/>
        </w:rPr>
        <w:t xml:space="preserve">, </w:t>
      </w:r>
      <w:r w:rsidR="00064773">
        <w:rPr>
          <w:rFonts w:ascii="Tahoma" w:hAnsi="Tahoma" w:cs="Tahoma"/>
        </w:rPr>
        <w:t>η</w:t>
      </w:r>
      <w:r w:rsidR="00064773" w:rsidRPr="00242912">
        <w:rPr>
          <w:rFonts w:ascii="Tahoma" w:hAnsi="Tahoma" w:cs="Tahoma"/>
        </w:rPr>
        <w:t xml:space="preserve"> συνδρομητική βάση </w:t>
      </w:r>
      <w:r w:rsidR="00064773">
        <w:rPr>
          <w:rFonts w:ascii="Tahoma" w:hAnsi="Tahoma" w:cs="Tahoma"/>
          <w:lang w:val="en-US"/>
        </w:rPr>
        <w:t>Pay</w:t>
      </w:r>
      <w:r w:rsidR="00064773" w:rsidRPr="005F3B86">
        <w:rPr>
          <w:rFonts w:ascii="Tahoma" w:hAnsi="Tahoma" w:cs="Tahoma"/>
        </w:rPr>
        <w:t xml:space="preserve"> </w:t>
      </w:r>
      <w:r w:rsidR="00064773">
        <w:rPr>
          <w:rFonts w:ascii="Tahoma" w:hAnsi="Tahoma" w:cs="Tahoma"/>
          <w:lang w:val="en-US"/>
        </w:rPr>
        <w:t>TV</w:t>
      </w:r>
      <w:r w:rsidR="00064773" w:rsidRPr="005F3B86">
        <w:rPr>
          <w:rFonts w:ascii="Tahoma" w:hAnsi="Tahoma" w:cs="Tahoma"/>
        </w:rPr>
        <w:t xml:space="preserve"> </w:t>
      </w:r>
      <w:r w:rsidR="00064773" w:rsidRPr="00242912">
        <w:rPr>
          <w:rFonts w:ascii="Tahoma" w:hAnsi="Tahoma" w:cs="Tahoma"/>
        </w:rPr>
        <w:t xml:space="preserve">έκλεισε στους </w:t>
      </w:r>
      <w:r w:rsidR="00064773">
        <w:rPr>
          <w:rFonts w:ascii="Tahoma" w:hAnsi="Tahoma" w:cs="Tahoma"/>
        </w:rPr>
        <w:t>439</w:t>
      </w:r>
      <w:r w:rsidR="00064773" w:rsidRPr="005F3B86">
        <w:rPr>
          <w:rFonts w:ascii="Tahoma" w:hAnsi="Tahoma" w:cs="Tahoma"/>
        </w:rPr>
        <w:t>,</w:t>
      </w:r>
      <w:r w:rsidR="00064773">
        <w:rPr>
          <w:rFonts w:ascii="Tahoma" w:hAnsi="Tahoma" w:cs="Tahoma"/>
        </w:rPr>
        <w:t>4</w:t>
      </w:r>
      <w:r w:rsidR="00064773" w:rsidRPr="00242912">
        <w:rPr>
          <w:rFonts w:ascii="Tahoma" w:hAnsi="Tahoma" w:cs="Tahoma"/>
        </w:rPr>
        <w:t xml:space="preserve"> χιλιάδες συνδρομητές</w:t>
      </w:r>
      <w:r w:rsidR="007E354D">
        <w:rPr>
          <w:rFonts w:ascii="Tahoma" w:hAnsi="Tahoma" w:cs="Tahoma"/>
        </w:rPr>
        <w:t xml:space="preserve">. </w:t>
      </w:r>
    </w:p>
    <w:p w:rsidR="003A4D9A" w:rsidRPr="00575E94" w:rsidRDefault="003A4D9A" w:rsidP="00DD3F9D">
      <w:pPr>
        <w:tabs>
          <w:tab w:val="left" w:pos="142"/>
        </w:tabs>
        <w:jc w:val="both"/>
        <w:rPr>
          <w:rFonts w:ascii="Tahoma" w:hAnsi="Tahoma" w:cs="Tahoma"/>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6"/>
        <w:gridCol w:w="2268"/>
        <w:gridCol w:w="2268"/>
        <w:gridCol w:w="1588"/>
      </w:tblGrid>
      <w:tr w:rsidR="0071333C" w:rsidRPr="00924993" w:rsidTr="00067287">
        <w:trPr>
          <w:trHeight w:hRule="exact" w:val="347"/>
        </w:trPr>
        <w:tc>
          <w:tcPr>
            <w:tcW w:w="4366" w:type="dxa"/>
            <w:tcBorders>
              <w:bottom w:val="single" w:sz="4" w:space="0" w:color="auto"/>
            </w:tcBorders>
            <w:shd w:val="clear" w:color="auto" w:fill="D9D9D9"/>
            <w:vAlign w:val="center"/>
          </w:tcPr>
          <w:p w:rsidR="0071333C" w:rsidRPr="00924993" w:rsidRDefault="0071333C" w:rsidP="0071333C">
            <w:pPr>
              <w:jc w:val="center"/>
              <w:rPr>
                <w:rFonts w:ascii="Tahoma" w:hAnsi="Tahoma" w:cs="Tahoma"/>
                <w:b/>
                <w:bCs/>
                <w:color w:val="000000"/>
              </w:rPr>
            </w:pPr>
          </w:p>
        </w:tc>
        <w:tc>
          <w:tcPr>
            <w:tcW w:w="2268" w:type="dxa"/>
            <w:tcBorders>
              <w:bottom w:val="single" w:sz="4" w:space="0" w:color="auto"/>
            </w:tcBorders>
            <w:shd w:val="clear" w:color="auto" w:fill="D9D9D9"/>
            <w:vAlign w:val="center"/>
          </w:tcPr>
          <w:p w:rsidR="0071333C" w:rsidRPr="007E354D" w:rsidRDefault="0071333C" w:rsidP="0071333C">
            <w:pPr>
              <w:jc w:val="center"/>
              <w:rPr>
                <w:rFonts w:ascii="Tahoma" w:hAnsi="Tahoma" w:cs="Tahoma"/>
                <w:b/>
                <w:bCs/>
                <w:color w:val="000000" w:themeColor="text1"/>
                <w:sz w:val="22"/>
                <w:szCs w:val="22"/>
                <w:lang w:eastAsia="en-US"/>
              </w:rPr>
            </w:pPr>
            <w:r>
              <w:rPr>
                <w:rFonts w:ascii="Tahoma" w:hAnsi="Tahoma" w:cs="Tahoma"/>
                <w:b/>
                <w:bCs/>
                <w:color w:val="000000" w:themeColor="text1"/>
                <w:sz w:val="22"/>
                <w:szCs w:val="22"/>
              </w:rPr>
              <w:t>12M 2016</w:t>
            </w:r>
          </w:p>
        </w:tc>
        <w:tc>
          <w:tcPr>
            <w:tcW w:w="2268" w:type="dxa"/>
            <w:tcBorders>
              <w:bottom w:val="single" w:sz="4" w:space="0" w:color="auto"/>
            </w:tcBorders>
            <w:shd w:val="clear" w:color="auto" w:fill="D9D9D9"/>
            <w:vAlign w:val="center"/>
          </w:tcPr>
          <w:p w:rsidR="0071333C" w:rsidRPr="00C24DFD" w:rsidRDefault="0071333C" w:rsidP="0071333C">
            <w:pPr>
              <w:jc w:val="center"/>
              <w:rPr>
                <w:rFonts w:ascii="Tahoma" w:hAnsi="Tahoma" w:cs="Tahoma"/>
                <w:b/>
                <w:bCs/>
                <w:color w:val="000000" w:themeColor="text1"/>
                <w:sz w:val="22"/>
                <w:szCs w:val="22"/>
              </w:rPr>
            </w:pPr>
            <w:r>
              <w:rPr>
                <w:rFonts w:ascii="Tahoma" w:hAnsi="Tahoma" w:cs="Tahoma"/>
                <w:b/>
                <w:bCs/>
                <w:color w:val="000000" w:themeColor="text1"/>
                <w:sz w:val="22"/>
                <w:szCs w:val="22"/>
              </w:rPr>
              <w:t>12M 2015</w:t>
            </w:r>
          </w:p>
        </w:tc>
        <w:tc>
          <w:tcPr>
            <w:tcW w:w="1588" w:type="dxa"/>
            <w:tcBorders>
              <w:bottom w:val="single" w:sz="4" w:space="0" w:color="auto"/>
            </w:tcBorders>
            <w:shd w:val="clear" w:color="auto" w:fill="D9D9D9"/>
            <w:vAlign w:val="center"/>
          </w:tcPr>
          <w:p w:rsidR="0071333C" w:rsidRPr="00037A0D" w:rsidRDefault="0071333C" w:rsidP="0071333C">
            <w:pPr>
              <w:jc w:val="center"/>
              <w:rPr>
                <w:rFonts w:ascii="Tahoma" w:hAnsi="Tahoma" w:cs="Tahoma"/>
                <w:b/>
                <w:bCs/>
                <w:color w:val="000000"/>
                <w:sz w:val="22"/>
                <w:szCs w:val="22"/>
              </w:rPr>
            </w:pPr>
            <w:r w:rsidRPr="00037A0D">
              <w:rPr>
                <w:rFonts w:ascii="Tahoma" w:hAnsi="Tahoma" w:cs="Tahoma"/>
                <w:b/>
                <w:bCs/>
                <w:color w:val="000000"/>
                <w:sz w:val="22"/>
                <w:szCs w:val="22"/>
              </w:rPr>
              <w:t>Δ</w:t>
            </w:r>
          </w:p>
        </w:tc>
      </w:tr>
      <w:tr w:rsidR="0071333C" w:rsidRPr="00924993" w:rsidTr="00067287">
        <w:trPr>
          <w:trHeight w:hRule="exact" w:val="347"/>
        </w:trPr>
        <w:tc>
          <w:tcPr>
            <w:tcW w:w="4366" w:type="dxa"/>
            <w:shd w:val="clear" w:color="auto" w:fill="F2F2F2"/>
            <w:vAlign w:val="center"/>
          </w:tcPr>
          <w:p w:rsidR="0071333C" w:rsidRPr="007E354D" w:rsidRDefault="0071333C" w:rsidP="0071333C">
            <w:pPr>
              <w:rPr>
                <w:rFonts w:ascii="Tahoma" w:hAnsi="Tahoma" w:cs="Tahoma"/>
                <w:color w:val="000000"/>
              </w:rPr>
            </w:pPr>
            <w:r w:rsidRPr="00924993">
              <w:rPr>
                <w:rFonts w:ascii="Tahoma" w:hAnsi="Tahoma" w:cs="Tahoma"/>
                <w:color w:val="000000"/>
                <w:sz w:val="22"/>
              </w:rPr>
              <w:t xml:space="preserve">Συνδρομητές </w:t>
            </w:r>
            <w:r w:rsidRPr="00924993">
              <w:rPr>
                <w:rFonts w:ascii="Tahoma" w:hAnsi="Tahoma" w:cs="Tahoma"/>
                <w:color w:val="000000"/>
                <w:sz w:val="22"/>
                <w:lang w:val="en-US"/>
              </w:rPr>
              <w:t>PayTV</w:t>
            </w:r>
            <w:r w:rsidRPr="00924993">
              <w:rPr>
                <w:rFonts w:ascii="Tahoma" w:hAnsi="Tahoma" w:cs="Tahoma"/>
                <w:color w:val="000000"/>
                <w:sz w:val="22"/>
              </w:rPr>
              <w:t xml:space="preserve"> Ελλάδα</w:t>
            </w:r>
          </w:p>
        </w:tc>
        <w:tc>
          <w:tcPr>
            <w:tcW w:w="2268" w:type="dxa"/>
            <w:shd w:val="clear" w:color="auto" w:fill="F2F2F2"/>
            <w:noWrap/>
            <w:vAlign w:val="center"/>
          </w:tcPr>
          <w:p w:rsidR="0071333C" w:rsidRPr="007E354D" w:rsidRDefault="0071333C" w:rsidP="0071333C">
            <w:pPr>
              <w:jc w:val="center"/>
              <w:rPr>
                <w:rFonts w:ascii="Tahoma" w:hAnsi="Tahoma" w:cs="Tahoma"/>
                <w:color w:val="000000" w:themeColor="text1"/>
                <w:sz w:val="22"/>
                <w:szCs w:val="22"/>
                <w:lang w:eastAsia="en-US"/>
              </w:rPr>
            </w:pPr>
            <w:r w:rsidRPr="0071333C">
              <w:rPr>
                <w:rFonts w:ascii="Tahoma" w:hAnsi="Tahoma" w:cs="Tahoma"/>
                <w:color w:val="000000" w:themeColor="text1"/>
                <w:sz w:val="22"/>
                <w:szCs w:val="22"/>
              </w:rPr>
              <w:t>439.404</w:t>
            </w:r>
          </w:p>
        </w:tc>
        <w:tc>
          <w:tcPr>
            <w:tcW w:w="2268"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494.643</w:t>
            </w:r>
          </w:p>
        </w:tc>
        <w:tc>
          <w:tcPr>
            <w:tcW w:w="1588" w:type="dxa"/>
            <w:shd w:val="clear" w:color="auto" w:fill="F2F2F2"/>
            <w:vAlign w:val="center"/>
          </w:tcPr>
          <w:p w:rsidR="0071333C" w:rsidRPr="0071333C" w:rsidRDefault="0071333C" w:rsidP="0071333C">
            <w:pPr>
              <w:jc w:val="center"/>
              <w:rPr>
                <w:rFonts w:ascii="Tahoma" w:hAnsi="Tahoma" w:cs="Tahoma"/>
                <w:color w:val="000000" w:themeColor="text1"/>
                <w:sz w:val="22"/>
                <w:szCs w:val="22"/>
              </w:rPr>
            </w:pPr>
            <w:r w:rsidRPr="0071333C">
              <w:rPr>
                <w:rFonts w:ascii="Tahoma" w:hAnsi="Tahoma" w:cs="Tahoma"/>
                <w:color w:val="000000" w:themeColor="text1"/>
                <w:sz w:val="22"/>
                <w:szCs w:val="22"/>
              </w:rPr>
              <w:t>-11,2%</w:t>
            </w:r>
          </w:p>
        </w:tc>
      </w:tr>
    </w:tbl>
    <w:p w:rsidR="00DA1B17" w:rsidRPr="00FA10A1" w:rsidRDefault="00DA1B17" w:rsidP="00DD3F9D">
      <w:pPr>
        <w:shd w:val="clear" w:color="auto" w:fill="595959"/>
        <w:outlineLvl w:val="0"/>
        <w:rPr>
          <w:rStyle w:val="a0"/>
          <w:rFonts w:ascii="Tahoma" w:hAnsi="Tahoma" w:cs="Tahoma"/>
          <w:smallCaps w:val="0"/>
          <w:color w:val="FFFFFF"/>
          <w:sz w:val="36"/>
          <w:szCs w:val="36"/>
        </w:rPr>
      </w:pPr>
      <w:r w:rsidRPr="00FA10A1">
        <w:rPr>
          <w:rStyle w:val="a0"/>
          <w:rFonts w:ascii="Tahoma" w:hAnsi="Tahoma" w:cs="Tahoma"/>
          <w:color w:val="FFFFFF"/>
          <w:sz w:val="36"/>
          <w:szCs w:val="36"/>
        </w:rPr>
        <w:lastRenderedPageBreak/>
        <w:t>Οικονομικά Αποτελέσματα</w:t>
      </w:r>
    </w:p>
    <w:p w:rsidR="00A42ED0" w:rsidRDefault="00A42ED0" w:rsidP="005B2BA7">
      <w:pPr>
        <w:autoSpaceDE w:val="0"/>
        <w:autoSpaceDN w:val="0"/>
        <w:adjustRightInd w:val="0"/>
        <w:jc w:val="both"/>
        <w:rPr>
          <w:rFonts w:ascii="Tahoma" w:hAnsi="Tahoma" w:cs="Tahoma"/>
        </w:rPr>
      </w:pPr>
    </w:p>
    <w:p w:rsidR="00A42ED0" w:rsidRPr="004A4CDE" w:rsidRDefault="00A42ED0" w:rsidP="00A42ED0">
      <w:pPr>
        <w:autoSpaceDE w:val="0"/>
        <w:autoSpaceDN w:val="0"/>
        <w:adjustRightInd w:val="0"/>
        <w:jc w:val="both"/>
        <w:rPr>
          <w:rFonts w:ascii="Tahoma" w:hAnsi="Tahoma" w:cs="Tahoma"/>
        </w:rPr>
      </w:pPr>
      <w:r>
        <w:rPr>
          <w:rFonts w:ascii="Tahoma" w:hAnsi="Tahoma" w:cs="Tahoma"/>
        </w:rPr>
        <w:t>Τα ενοποιημένα ομαλοποιημένα συνολικά έσοδα</w:t>
      </w:r>
      <w:r w:rsidRPr="007E354C">
        <w:rPr>
          <w:rFonts w:ascii="Tahoma" w:hAnsi="Tahoma" w:cs="Tahoma"/>
        </w:rPr>
        <w:t xml:space="preserve"> για το </w:t>
      </w:r>
      <w:r>
        <w:rPr>
          <w:rFonts w:ascii="Tahoma" w:hAnsi="Tahoma" w:cs="Tahoma"/>
        </w:rPr>
        <w:t xml:space="preserve">δωδεκάμηνο του 2016, ανήλθαν </w:t>
      </w:r>
      <w:r w:rsidRPr="007E354C">
        <w:rPr>
          <w:rFonts w:ascii="Tahoma" w:hAnsi="Tahoma" w:cs="Tahoma"/>
        </w:rPr>
        <w:t>στα €</w:t>
      </w:r>
      <w:r>
        <w:rPr>
          <w:rFonts w:ascii="Tahoma" w:hAnsi="Tahoma" w:cs="Tahoma"/>
        </w:rPr>
        <w:t>325,</w:t>
      </w:r>
      <w:r w:rsidR="004A17AC">
        <w:rPr>
          <w:rFonts w:ascii="Tahoma" w:hAnsi="Tahoma" w:cs="Tahoma"/>
        </w:rPr>
        <w:t>1</w:t>
      </w:r>
      <w:r w:rsidR="000514DD">
        <w:rPr>
          <w:rFonts w:ascii="Tahoma" w:hAnsi="Tahoma" w:cs="Tahoma"/>
        </w:rPr>
        <w:t xml:space="preserve"> </w:t>
      </w:r>
      <w:r w:rsidRPr="007E354C">
        <w:rPr>
          <w:rFonts w:ascii="Tahoma" w:hAnsi="Tahoma" w:cs="Tahoma"/>
        </w:rPr>
        <w:t>εκ</w:t>
      </w:r>
      <w:r w:rsidR="000514DD">
        <w:rPr>
          <w:rFonts w:ascii="Tahoma" w:hAnsi="Tahoma" w:cs="Tahoma"/>
        </w:rPr>
        <w:t>ατ</w:t>
      </w:r>
      <w:r w:rsidRPr="007E354C">
        <w:rPr>
          <w:rFonts w:ascii="Tahoma" w:hAnsi="Tahoma" w:cs="Tahoma"/>
        </w:rPr>
        <w:t xml:space="preserve">., παρουσιάζοντας μείωση σε σχέση με </w:t>
      </w:r>
      <w:r>
        <w:rPr>
          <w:rFonts w:ascii="Tahoma" w:hAnsi="Tahoma" w:cs="Tahoma"/>
        </w:rPr>
        <w:t xml:space="preserve">το δωδεκάμηνο </w:t>
      </w:r>
      <w:r w:rsidRPr="007E354C">
        <w:rPr>
          <w:rFonts w:ascii="Tahoma" w:hAnsi="Tahoma" w:cs="Tahoma"/>
        </w:rPr>
        <w:t>του 201</w:t>
      </w:r>
      <w:r>
        <w:rPr>
          <w:rFonts w:ascii="Tahoma" w:hAnsi="Tahoma" w:cs="Tahoma"/>
        </w:rPr>
        <w:t>5</w:t>
      </w:r>
      <w:r w:rsidRPr="007E354C">
        <w:rPr>
          <w:rFonts w:ascii="Tahoma" w:hAnsi="Tahoma" w:cs="Tahoma"/>
        </w:rPr>
        <w:t xml:space="preserve">, εξαιτίας της μείωσης της αγοραστικής </w:t>
      </w:r>
      <w:r>
        <w:rPr>
          <w:rFonts w:ascii="Tahoma" w:hAnsi="Tahoma" w:cs="Tahoma"/>
        </w:rPr>
        <w:t>δύναμης</w:t>
      </w:r>
      <w:r w:rsidR="007E354D">
        <w:rPr>
          <w:rFonts w:ascii="Tahoma" w:hAnsi="Tahoma" w:cs="Tahoma"/>
        </w:rPr>
        <w:t xml:space="preserve"> των καταναλωτών </w:t>
      </w:r>
      <w:r w:rsidRPr="007E354C">
        <w:rPr>
          <w:rFonts w:ascii="Tahoma" w:hAnsi="Tahoma" w:cs="Tahoma"/>
        </w:rPr>
        <w:t xml:space="preserve">και </w:t>
      </w:r>
      <w:r>
        <w:rPr>
          <w:rFonts w:ascii="Tahoma" w:hAnsi="Tahoma" w:cs="Tahoma"/>
        </w:rPr>
        <w:t>της συντηρητικής προσέγγισης στην εμπορική μας πολιτική</w:t>
      </w:r>
      <w:r w:rsidR="007E354D">
        <w:rPr>
          <w:rFonts w:ascii="Tahoma" w:hAnsi="Tahoma" w:cs="Tahoma"/>
        </w:rPr>
        <w:t xml:space="preserve"> το 2016</w:t>
      </w:r>
      <w:r>
        <w:rPr>
          <w:rFonts w:ascii="Tahoma" w:hAnsi="Tahoma" w:cs="Tahoma"/>
        </w:rPr>
        <w:t>.</w:t>
      </w:r>
      <w:r w:rsidRPr="005717F2">
        <w:rPr>
          <w:rFonts w:ascii="Tahoma" w:hAnsi="Tahoma" w:cs="Tahoma"/>
        </w:rPr>
        <w:t xml:space="preserve"> </w:t>
      </w:r>
      <w:r>
        <w:rPr>
          <w:rFonts w:ascii="Tahoma" w:hAnsi="Tahoma" w:cs="Tahoma"/>
        </w:rPr>
        <w:t>Το έσοδο από διαφήμιση βελτιωμένο κατά 11,</w:t>
      </w:r>
      <w:r w:rsidR="004A17AC">
        <w:rPr>
          <w:rFonts w:ascii="Tahoma" w:hAnsi="Tahoma" w:cs="Tahoma"/>
        </w:rPr>
        <w:t>4</w:t>
      </w:r>
      <w:r>
        <w:rPr>
          <w:rFonts w:ascii="Tahoma" w:hAnsi="Tahoma" w:cs="Tahoma"/>
        </w:rPr>
        <w:t xml:space="preserve">% ως αποτέλεσμα του διαρκώς αναβαθμιζόμενου περιεχομένου του τηλεοπτικού προγράμματος της </w:t>
      </w:r>
      <w:r>
        <w:rPr>
          <w:rFonts w:ascii="Tahoma" w:hAnsi="Tahoma" w:cs="Tahoma"/>
          <w:lang w:val="en-US"/>
        </w:rPr>
        <w:t>Nova</w:t>
      </w:r>
      <w:r w:rsidRPr="004A4CDE">
        <w:rPr>
          <w:rFonts w:ascii="Tahoma" w:hAnsi="Tahoma" w:cs="Tahoma"/>
        </w:rPr>
        <w:t>.</w:t>
      </w:r>
    </w:p>
    <w:p w:rsidR="00A42ED0" w:rsidRPr="004B65A0" w:rsidRDefault="00A42ED0" w:rsidP="005B2BA7">
      <w:pPr>
        <w:autoSpaceDE w:val="0"/>
        <w:autoSpaceDN w:val="0"/>
        <w:adjustRightInd w:val="0"/>
        <w:jc w:val="both"/>
        <w:rPr>
          <w:rFonts w:ascii="Tahoma" w:hAnsi="Tahoma" w:cs="Tahoma"/>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2268"/>
        <w:gridCol w:w="2268"/>
        <w:gridCol w:w="1559"/>
      </w:tblGrid>
      <w:tr w:rsidR="0071333C" w:rsidRPr="00850EA4" w:rsidTr="00067287">
        <w:trPr>
          <w:trHeight w:hRule="exact" w:val="504"/>
        </w:trPr>
        <w:tc>
          <w:tcPr>
            <w:tcW w:w="4395" w:type="dxa"/>
            <w:tcBorders>
              <w:bottom w:val="single" w:sz="4" w:space="0" w:color="auto"/>
            </w:tcBorders>
            <w:shd w:val="clear" w:color="auto" w:fill="D9D9D9"/>
            <w:vAlign w:val="center"/>
          </w:tcPr>
          <w:p w:rsidR="0071333C" w:rsidRPr="00850EA4" w:rsidRDefault="0071333C" w:rsidP="0071333C">
            <w:pPr>
              <w:jc w:val="center"/>
              <w:rPr>
                <w:rFonts w:ascii="Tahoma" w:hAnsi="Tahoma" w:cs="Tahoma"/>
                <w:i/>
                <w:iCs/>
                <w:color w:val="000000"/>
                <w:sz w:val="22"/>
                <w:szCs w:val="22"/>
              </w:rPr>
            </w:pPr>
            <w:r w:rsidRPr="00850EA4">
              <w:rPr>
                <w:rFonts w:ascii="Tahoma" w:hAnsi="Tahoma" w:cs="Tahoma"/>
                <w:b/>
                <w:bCs/>
                <w:i/>
                <w:iCs/>
                <w:color w:val="000000"/>
                <w:sz w:val="22"/>
                <w:szCs w:val="22"/>
              </w:rPr>
              <w:t xml:space="preserve">Ανάλυση εσόδων </w:t>
            </w:r>
            <w:r w:rsidRPr="00850EA4">
              <w:rPr>
                <w:rFonts w:ascii="Tahoma" w:hAnsi="Tahoma" w:cs="Tahoma"/>
                <w:i/>
                <w:iCs/>
                <w:color w:val="000000"/>
                <w:sz w:val="22"/>
                <w:szCs w:val="22"/>
              </w:rPr>
              <w:t>(€ ‘000)</w:t>
            </w:r>
          </w:p>
        </w:tc>
        <w:tc>
          <w:tcPr>
            <w:tcW w:w="2268" w:type="dxa"/>
            <w:tcBorders>
              <w:bottom w:val="single" w:sz="4" w:space="0" w:color="auto"/>
            </w:tcBorders>
            <w:shd w:val="clear" w:color="auto" w:fill="D9D9D9"/>
            <w:vAlign w:val="center"/>
          </w:tcPr>
          <w:p w:rsidR="0071333C" w:rsidRPr="00A42ED0" w:rsidRDefault="0071333C" w:rsidP="00796045">
            <w:pPr>
              <w:jc w:val="center"/>
              <w:rPr>
                <w:rFonts w:ascii="Tahoma" w:hAnsi="Tahoma" w:cs="Tahoma"/>
                <w:b/>
                <w:bCs/>
                <w:color w:val="000000" w:themeColor="text1"/>
                <w:sz w:val="22"/>
                <w:szCs w:val="22"/>
                <w:lang w:eastAsia="en-US"/>
              </w:rPr>
            </w:pPr>
            <w:r>
              <w:rPr>
                <w:rFonts w:ascii="Tahoma" w:hAnsi="Tahoma" w:cs="Tahoma"/>
                <w:b/>
                <w:bCs/>
                <w:color w:val="000000" w:themeColor="text1"/>
                <w:sz w:val="22"/>
                <w:szCs w:val="22"/>
              </w:rPr>
              <w:t>12M 2016</w:t>
            </w:r>
          </w:p>
        </w:tc>
        <w:tc>
          <w:tcPr>
            <w:tcW w:w="2268" w:type="dxa"/>
            <w:tcBorders>
              <w:bottom w:val="single" w:sz="4" w:space="0" w:color="auto"/>
            </w:tcBorders>
            <w:shd w:val="clear" w:color="auto" w:fill="D9D9D9"/>
            <w:vAlign w:val="center"/>
          </w:tcPr>
          <w:p w:rsidR="0071333C" w:rsidRPr="00C24DFD" w:rsidRDefault="0071333C" w:rsidP="00B35A90">
            <w:pPr>
              <w:jc w:val="center"/>
              <w:rPr>
                <w:rFonts w:ascii="Tahoma" w:hAnsi="Tahoma" w:cs="Tahoma"/>
                <w:b/>
                <w:bCs/>
                <w:color w:val="000000" w:themeColor="text1"/>
                <w:sz w:val="22"/>
                <w:szCs w:val="22"/>
              </w:rPr>
            </w:pPr>
            <w:r>
              <w:rPr>
                <w:rFonts w:ascii="Tahoma" w:hAnsi="Tahoma" w:cs="Tahoma"/>
                <w:b/>
                <w:bCs/>
                <w:color w:val="000000" w:themeColor="text1"/>
                <w:sz w:val="22"/>
                <w:szCs w:val="22"/>
              </w:rPr>
              <w:t>12M 2015</w:t>
            </w:r>
          </w:p>
        </w:tc>
        <w:tc>
          <w:tcPr>
            <w:tcW w:w="1559" w:type="dxa"/>
            <w:tcBorders>
              <w:bottom w:val="single" w:sz="4" w:space="0" w:color="auto"/>
            </w:tcBorders>
            <w:shd w:val="clear" w:color="auto" w:fill="D9D9D9"/>
            <w:vAlign w:val="center"/>
          </w:tcPr>
          <w:p w:rsidR="0071333C" w:rsidRPr="00850EA4" w:rsidRDefault="0071333C" w:rsidP="0071333C">
            <w:pPr>
              <w:jc w:val="center"/>
              <w:rPr>
                <w:rFonts w:ascii="Tahoma" w:hAnsi="Tahoma" w:cs="Tahoma"/>
                <w:b/>
                <w:bCs/>
                <w:color w:val="000000"/>
                <w:sz w:val="22"/>
                <w:szCs w:val="22"/>
              </w:rPr>
            </w:pPr>
            <w:r w:rsidRPr="00850EA4">
              <w:rPr>
                <w:rFonts w:ascii="Tahoma" w:hAnsi="Tahoma" w:cs="Tahoma"/>
                <w:b/>
                <w:bCs/>
                <w:color w:val="000000"/>
                <w:sz w:val="22"/>
                <w:szCs w:val="22"/>
              </w:rPr>
              <w:t>Δ</w:t>
            </w:r>
          </w:p>
        </w:tc>
      </w:tr>
      <w:tr w:rsidR="004A17AC" w:rsidRPr="00850EA4" w:rsidTr="00067287">
        <w:trPr>
          <w:trHeight w:hRule="exact" w:val="340"/>
        </w:trPr>
        <w:tc>
          <w:tcPr>
            <w:tcW w:w="4395" w:type="dxa"/>
            <w:shd w:val="clear" w:color="auto" w:fill="F2F2F2"/>
            <w:vAlign w:val="center"/>
          </w:tcPr>
          <w:p w:rsidR="004A17AC" w:rsidRPr="00850EA4" w:rsidRDefault="004A17AC" w:rsidP="004A17AC">
            <w:pPr>
              <w:rPr>
                <w:rFonts w:ascii="Tahoma" w:hAnsi="Tahoma" w:cs="Tahoma"/>
                <w:b/>
                <w:color w:val="000000"/>
                <w:sz w:val="22"/>
                <w:szCs w:val="22"/>
              </w:rPr>
            </w:pPr>
            <w:r w:rsidRPr="00850EA4">
              <w:rPr>
                <w:rFonts w:ascii="Tahoma" w:hAnsi="Tahoma" w:cs="Tahoma"/>
                <w:b/>
                <w:color w:val="000000"/>
                <w:sz w:val="22"/>
                <w:szCs w:val="22"/>
              </w:rPr>
              <w:t>Λιανική</w:t>
            </w:r>
          </w:p>
        </w:tc>
        <w:tc>
          <w:tcPr>
            <w:tcW w:w="2268" w:type="dxa"/>
            <w:shd w:val="clear" w:color="auto" w:fill="F2F2F2"/>
            <w:vAlign w:val="center"/>
          </w:tcPr>
          <w:p w:rsidR="004A17AC" w:rsidRPr="004A17AC" w:rsidRDefault="004A17AC" w:rsidP="004A17AC">
            <w:pPr>
              <w:jc w:val="center"/>
              <w:rPr>
                <w:rFonts w:ascii="Tahoma" w:hAnsi="Tahoma" w:cs="Tahoma"/>
                <w:b/>
                <w:bCs/>
                <w:color w:val="000000" w:themeColor="text1"/>
                <w:sz w:val="22"/>
                <w:szCs w:val="22"/>
                <w:lang w:val="en-US" w:eastAsia="en-US"/>
              </w:rPr>
            </w:pPr>
            <w:r w:rsidRPr="004A17AC">
              <w:rPr>
                <w:rFonts w:ascii="Tahoma" w:hAnsi="Tahoma" w:cs="Tahoma"/>
                <w:b/>
                <w:bCs/>
                <w:color w:val="000000" w:themeColor="text1"/>
                <w:sz w:val="22"/>
                <w:szCs w:val="22"/>
              </w:rPr>
              <w:t>248.422</w:t>
            </w:r>
          </w:p>
        </w:tc>
        <w:tc>
          <w:tcPr>
            <w:tcW w:w="2268" w:type="dxa"/>
            <w:shd w:val="clear" w:color="auto" w:fill="F2F2F2"/>
            <w:vAlign w:val="center"/>
          </w:tcPr>
          <w:p w:rsidR="004A17AC" w:rsidRPr="004A17AC" w:rsidRDefault="004A17AC" w:rsidP="004A17AC">
            <w:pPr>
              <w:jc w:val="center"/>
              <w:rPr>
                <w:rFonts w:ascii="Tahoma" w:hAnsi="Tahoma" w:cs="Tahoma"/>
                <w:b/>
                <w:bCs/>
                <w:color w:val="000000" w:themeColor="text1"/>
                <w:sz w:val="22"/>
                <w:szCs w:val="22"/>
              </w:rPr>
            </w:pPr>
            <w:r w:rsidRPr="004A17AC">
              <w:rPr>
                <w:rFonts w:ascii="Tahoma" w:hAnsi="Tahoma" w:cs="Tahoma"/>
                <w:b/>
                <w:bCs/>
                <w:color w:val="000000" w:themeColor="text1"/>
                <w:sz w:val="22"/>
                <w:szCs w:val="22"/>
              </w:rPr>
              <w:t>277.151</w:t>
            </w:r>
          </w:p>
        </w:tc>
        <w:tc>
          <w:tcPr>
            <w:tcW w:w="1559" w:type="dxa"/>
            <w:shd w:val="clear" w:color="auto" w:fill="F2F2F2"/>
            <w:vAlign w:val="center"/>
          </w:tcPr>
          <w:p w:rsidR="004A17AC" w:rsidRPr="004A17AC" w:rsidRDefault="004A17AC" w:rsidP="004A17AC">
            <w:pPr>
              <w:jc w:val="center"/>
              <w:rPr>
                <w:rFonts w:ascii="Tahoma" w:hAnsi="Tahoma" w:cs="Tahoma"/>
                <w:b/>
                <w:bCs/>
                <w:color w:val="000000" w:themeColor="text1"/>
                <w:sz w:val="22"/>
                <w:szCs w:val="22"/>
              </w:rPr>
            </w:pPr>
            <w:r w:rsidRPr="004A17AC">
              <w:rPr>
                <w:rFonts w:ascii="Tahoma" w:hAnsi="Tahoma" w:cs="Tahoma"/>
                <w:b/>
                <w:bCs/>
                <w:color w:val="000000" w:themeColor="text1"/>
                <w:sz w:val="22"/>
                <w:szCs w:val="22"/>
              </w:rPr>
              <w:t>-10,4%</w:t>
            </w:r>
          </w:p>
        </w:tc>
      </w:tr>
      <w:tr w:rsidR="004A17AC" w:rsidRPr="00850EA4" w:rsidTr="00067287">
        <w:trPr>
          <w:trHeight w:hRule="exact" w:val="340"/>
        </w:trPr>
        <w:tc>
          <w:tcPr>
            <w:tcW w:w="4395" w:type="dxa"/>
            <w:shd w:val="clear" w:color="auto" w:fill="F2F2F2"/>
            <w:vAlign w:val="center"/>
          </w:tcPr>
          <w:p w:rsidR="004A17AC" w:rsidRPr="00850EA4" w:rsidRDefault="004A17AC" w:rsidP="004A17AC">
            <w:pPr>
              <w:rPr>
                <w:rFonts w:ascii="Tahoma" w:hAnsi="Tahoma" w:cs="Tahoma"/>
                <w:color w:val="000000"/>
                <w:sz w:val="22"/>
                <w:szCs w:val="22"/>
              </w:rPr>
            </w:pPr>
            <w:r w:rsidRPr="00850EA4">
              <w:rPr>
                <w:rFonts w:ascii="Tahoma" w:hAnsi="Tahoma" w:cs="Tahoma"/>
                <w:color w:val="000000"/>
                <w:sz w:val="22"/>
                <w:szCs w:val="22"/>
              </w:rPr>
              <w:t xml:space="preserve">   Λιανική -</w:t>
            </w:r>
            <w:r w:rsidRPr="00850EA4">
              <w:rPr>
                <w:rFonts w:ascii="Tahoma" w:hAnsi="Tahoma" w:cs="Tahoma"/>
                <w:color w:val="000000"/>
                <w:sz w:val="22"/>
                <w:szCs w:val="22"/>
                <w:lang w:val="en-US"/>
              </w:rPr>
              <w:t>Telco</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131.003</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142.673</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-8,2%</w:t>
            </w:r>
          </w:p>
        </w:tc>
      </w:tr>
      <w:tr w:rsidR="004A17AC" w:rsidRPr="00850EA4" w:rsidTr="00067287">
        <w:trPr>
          <w:trHeight w:hRule="exact" w:val="340"/>
        </w:trPr>
        <w:tc>
          <w:tcPr>
            <w:tcW w:w="4395" w:type="dxa"/>
            <w:shd w:val="clear" w:color="auto" w:fill="F2F2F2"/>
            <w:vAlign w:val="center"/>
          </w:tcPr>
          <w:p w:rsidR="004A17AC" w:rsidRPr="00850EA4" w:rsidRDefault="004A17AC" w:rsidP="004A17AC">
            <w:pPr>
              <w:rPr>
                <w:rFonts w:ascii="Tahoma" w:hAnsi="Tahoma" w:cs="Tahoma"/>
                <w:color w:val="000000"/>
                <w:sz w:val="22"/>
                <w:szCs w:val="22"/>
              </w:rPr>
            </w:pPr>
            <w:r w:rsidRPr="00850EA4">
              <w:rPr>
                <w:rFonts w:ascii="Tahoma" w:hAnsi="Tahoma" w:cs="Tahoma"/>
                <w:color w:val="000000"/>
                <w:sz w:val="22"/>
                <w:szCs w:val="22"/>
              </w:rPr>
              <w:t xml:space="preserve">   Λιανική - </w:t>
            </w:r>
            <w:r w:rsidRPr="00850EA4">
              <w:rPr>
                <w:rFonts w:ascii="Tahoma" w:hAnsi="Tahoma" w:cs="Tahoma"/>
                <w:color w:val="000000"/>
                <w:sz w:val="22"/>
                <w:szCs w:val="22"/>
                <w:lang w:val="en-US"/>
              </w:rPr>
              <w:t>PayTV</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117.419</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134.478</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-12,7%</w:t>
            </w:r>
          </w:p>
        </w:tc>
      </w:tr>
      <w:tr w:rsidR="004A17AC" w:rsidRPr="00031803" w:rsidTr="00067287">
        <w:trPr>
          <w:trHeight w:hRule="exact" w:val="340"/>
        </w:trPr>
        <w:tc>
          <w:tcPr>
            <w:tcW w:w="4395" w:type="dxa"/>
            <w:shd w:val="clear" w:color="auto" w:fill="F2F2F2"/>
            <w:vAlign w:val="center"/>
          </w:tcPr>
          <w:p w:rsidR="004A17AC" w:rsidRPr="00031803" w:rsidRDefault="004A17AC" w:rsidP="004A17AC">
            <w:pPr>
              <w:rPr>
                <w:rFonts w:ascii="Tahoma" w:hAnsi="Tahoma" w:cs="Tahoma"/>
                <w:color w:val="000000"/>
                <w:sz w:val="22"/>
                <w:szCs w:val="22"/>
                <w:lang w:val="en-US"/>
              </w:rPr>
            </w:pPr>
            <w:r w:rsidRPr="00031803">
              <w:rPr>
                <w:rFonts w:ascii="Tahoma" w:hAnsi="Tahoma" w:cs="Tahoma"/>
                <w:color w:val="000000"/>
                <w:sz w:val="22"/>
                <w:szCs w:val="22"/>
              </w:rPr>
              <w:t>Εταιρικοί πελάτες</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53.451</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54.698</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-2,3%</w:t>
            </w:r>
          </w:p>
        </w:tc>
      </w:tr>
      <w:tr w:rsidR="004A17AC" w:rsidRPr="00850EA4" w:rsidTr="00067287">
        <w:trPr>
          <w:trHeight w:hRule="exact" w:val="340"/>
        </w:trPr>
        <w:tc>
          <w:tcPr>
            <w:tcW w:w="4395" w:type="dxa"/>
            <w:shd w:val="clear" w:color="auto" w:fill="F2F2F2"/>
            <w:vAlign w:val="center"/>
          </w:tcPr>
          <w:p w:rsidR="004A17AC" w:rsidRPr="00850EA4" w:rsidRDefault="004A17AC" w:rsidP="00185CE1">
            <w:pPr>
              <w:rPr>
                <w:rFonts w:ascii="Tahoma" w:hAnsi="Tahoma" w:cs="Tahoma"/>
                <w:b/>
                <w:color w:val="000000"/>
                <w:sz w:val="22"/>
                <w:szCs w:val="22"/>
              </w:rPr>
            </w:pPr>
            <w:r>
              <w:rPr>
                <w:rFonts w:ascii="Tahoma" w:hAnsi="Tahoma" w:cs="Tahoma"/>
                <w:b/>
                <w:color w:val="000000"/>
                <w:sz w:val="22"/>
                <w:szCs w:val="22"/>
              </w:rPr>
              <w:t xml:space="preserve">Εταιρικοί πελάτες </w:t>
            </w:r>
            <w:r w:rsidRPr="001D5052">
              <w:rPr>
                <w:rFonts w:ascii="Tahoma" w:hAnsi="Tahoma" w:cs="Tahoma"/>
                <w:b/>
                <w:color w:val="000000"/>
                <w:sz w:val="18"/>
                <w:szCs w:val="20"/>
              </w:rPr>
              <w:t>(Ομαλοποιημένα</w:t>
            </w:r>
            <w:r w:rsidRPr="001D5052">
              <w:rPr>
                <w:rFonts w:ascii="Tahoma" w:hAnsi="Tahoma" w:cs="Tahoma"/>
                <w:b/>
                <w:color w:val="000000"/>
                <w:sz w:val="18"/>
                <w:szCs w:val="20"/>
                <w:lang w:val="en-US"/>
              </w:rPr>
              <w:t>)</w:t>
            </w:r>
            <w:r w:rsidR="00185CE1" w:rsidRPr="009A6844">
              <w:rPr>
                <w:rStyle w:val="FootnoteReference"/>
                <w:rFonts w:ascii="Tahoma" w:hAnsi="Tahoma" w:cs="Tahoma"/>
                <w:color w:val="000000"/>
                <w:sz w:val="18"/>
              </w:rPr>
              <w:footnoteReference w:id="2"/>
            </w:r>
          </w:p>
        </w:tc>
        <w:tc>
          <w:tcPr>
            <w:tcW w:w="2268" w:type="dxa"/>
            <w:shd w:val="clear" w:color="auto" w:fill="F2F2F2"/>
            <w:vAlign w:val="center"/>
          </w:tcPr>
          <w:p w:rsidR="004A17AC" w:rsidRPr="004A17AC" w:rsidRDefault="004A17AC" w:rsidP="004A17AC">
            <w:pPr>
              <w:jc w:val="center"/>
              <w:rPr>
                <w:rFonts w:ascii="Tahoma" w:hAnsi="Tahoma" w:cs="Tahoma"/>
                <w:b/>
                <w:bCs/>
                <w:color w:val="000000" w:themeColor="text1"/>
                <w:sz w:val="22"/>
                <w:szCs w:val="22"/>
              </w:rPr>
            </w:pPr>
            <w:r w:rsidRPr="004A17AC">
              <w:rPr>
                <w:rFonts w:ascii="Tahoma" w:hAnsi="Tahoma" w:cs="Tahoma"/>
                <w:b/>
                <w:bCs/>
                <w:color w:val="000000" w:themeColor="text1"/>
                <w:sz w:val="22"/>
                <w:szCs w:val="22"/>
              </w:rPr>
              <w:t>53.855</w:t>
            </w:r>
          </w:p>
        </w:tc>
        <w:tc>
          <w:tcPr>
            <w:tcW w:w="2268" w:type="dxa"/>
            <w:shd w:val="clear" w:color="auto" w:fill="F2F2F2"/>
            <w:vAlign w:val="center"/>
          </w:tcPr>
          <w:p w:rsidR="004A17AC" w:rsidRPr="004A17AC" w:rsidRDefault="004A17AC" w:rsidP="004A17AC">
            <w:pPr>
              <w:jc w:val="center"/>
              <w:rPr>
                <w:rFonts w:ascii="Tahoma" w:hAnsi="Tahoma" w:cs="Tahoma"/>
                <w:b/>
                <w:bCs/>
                <w:color w:val="000000" w:themeColor="text1"/>
                <w:sz w:val="22"/>
                <w:szCs w:val="22"/>
              </w:rPr>
            </w:pPr>
            <w:r w:rsidRPr="004A17AC">
              <w:rPr>
                <w:rFonts w:ascii="Tahoma" w:hAnsi="Tahoma" w:cs="Tahoma"/>
                <w:b/>
                <w:bCs/>
                <w:color w:val="000000" w:themeColor="text1"/>
                <w:sz w:val="22"/>
                <w:szCs w:val="22"/>
              </w:rPr>
              <w:t>55.137</w:t>
            </w:r>
          </w:p>
        </w:tc>
        <w:tc>
          <w:tcPr>
            <w:tcW w:w="1559" w:type="dxa"/>
            <w:shd w:val="clear" w:color="auto" w:fill="F2F2F2"/>
            <w:vAlign w:val="center"/>
          </w:tcPr>
          <w:p w:rsidR="004A17AC" w:rsidRPr="004A17AC" w:rsidRDefault="004A17AC" w:rsidP="004A17AC">
            <w:pPr>
              <w:jc w:val="center"/>
              <w:rPr>
                <w:rFonts w:ascii="Tahoma" w:hAnsi="Tahoma" w:cs="Tahoma"/>
                <w:b/>
                <w:bCs/>
                <w:color w:val="000000" w:themeColor="text1"/>
                <w:sz w:val="22"/>
                <w:szCs w:val="22"/>
              </w:rPr>
            </w:pPr>
            <w:r w:rsidRPr="004A17AC">
              <w:rPr>
                <w:rFonts w:ascii="Tahoma" w:hAnsi="Tahoma" w:cs="Tahoma"/>
                <w:b/>
                <w:bCs/>
                <w:color w:val="000000" w:themeColor="text1"/>
                <w:sz w:val="22"/>
                <w:szCs w:val="22"/>
              </w:rPr>
              <w:t>-2,3%</w:t>
            </w:r>
          </w:p>
        </w:tc>
      </w:tr>
      <w:tr w:rsidR="004A17AC" w:rsidRPr="00850EA4" w:rsidTr="00067287">
        <w:trPr>
          <w:trHeight w:hRule="exact" w:val="340"/>
        </w:trPr>
        <w:tc>
          <w:tcPr>
            <w:tcW w:w="4395" w:type="dxa"/>
            <w:shd w:val="clear" w:color="auto" w:fill="F2F2F2"/>
            <w:vAlign w:val="center"/>
          </w:tcPr>
          <w:p w:rsidR="004A17AC" w:rsidRPr="00850EA4" w:rsidRDefault="004A17AC" w:rsidP="004A17AC">
            <w:pPr>
              <w:rPr>
                <w:rFonts w:ascii="Tahoma" w:hAnsi="Tahoma" w:cs="Tahoma"/>
                <w:color w:val="000000" w:themeColor="text1"/>
                <w:sz w:val="22"/>
                <w:szCs w:val="22"/>
              </w:rPr>
            </w:pPr>
            <w:r w:rsidRPr="00850EA4">
              <w:rPr>
                <w:rFonts w:ascii="Tahoma" w:hAnsi="Tahoma" w:cs="Tahoma"/>
                <w:color w:val="000000" w:themeColor="text1"/>
                <w:sz w:val="22"/>
                <w:szCs w:val="22"/>
                <w:lang w:val="en-US"/>
              </w:rPr>
              <w:t xml:space="preserve">   </w:t>
            </w:r>
            <w:r w:rsidRPr="00850EA4">
              <w:rPr>
                <w:rFonts w:ascii="Tahoma" w:hAnsi="Tahoma" w:cs="Tahoma"/>
                <w:color w:val="000000" w:themeColor="text1"/>
                <w:sz w:val="22"/>
                <w:szCs w:val="22"/>
              </w:rPr>
              <w:t>Εταιρικοί πελάτες -</w:t>
            </w:r>
            <w:r w:rsidRPr="00850EA4">
              <w:rPr>
                <w:rFonts w:ascii="Tahoma" w:hAnsi="Tahoma" w:cs="Tahoma"/>
                <w:color w:val="000000" w:themeColor="text1"/>
                <w:sz w:val="22"/>
                <w:szCs w:val="22"/>
                <w:lang w:val="en-US"/>
              </w:rPr>
              <w:t>Telco</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35.568</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35.647</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-0,2%</w:t>
            </w:r>
          </w:p>
        </w:tc>
      </w:tr>
      <w:tr w:rsidR="004A17AC" w:rsidRPr="00850EA4" w:rsidTr="00067287">
        <w:trPr>
          <w:trHeight w:hRule="exact" w:val="522"/>
        </w:trPr>
        <w:tc>
          <w:tcPr>
            <w:tcW w:w="4395" w:type="dxa"/>
            <w:shd w:val="clear" w:color="auto" w:fill="F2F2F2"/>
            <w:vAlign w:val="center"/>
          </w:tcPr>
          <w:p w:rsidR="004A17AC" w:rsidRDefault="004A17AC" w:rsidP="004A17AC">
            <w:pPr>
              <w:rPr>
                <w:rFonts w:ascii="Tahoma" w:hAnsi="Tahoma" w:cs="Tahoma"/>
                <w:color w:val="000000"/>
                <w:sz w:val="20"/>
                <w:szCs w:val="20"/>
              </w:rPr>
            </w:pPr>
            <w:r w:rsidRPr="004A4F06">
              <w:rPr>
                <w:rFonts w:ascii="Tahoma" w:hAnsi="Tahoma" w:cs="Tahoma"/>
                <w:color w:val="000000"/>
                <w:sz w:val="20"/>
                <w:szCs w:val="20"/>
                <w:lang w:val="en-US"/>
              </w:rPr>
              <w:t xml:space="preserve">   </w:t>
            </w:r>
            <w:r w:rsidRPr="00105D2A">
              <w:rPr>
                <w:rFonts w:ascii="Tahoma" w:hAnsi="Tahoma" w:cs="Tahoma"/>
                <w:color w:val="000000"/>
                <w:sz w:val="20"/>
                <w:szCs w:val="20"/>
              </w:rPr>
              <w:t>Εταιρικοί πελάτες -</w:t>
            </w:r>
            <w:r w:rsidRPr="00105D2A">
              <w:rPr>
                <w:rFonts w:ascii="Tahoma" w:hAnsi="Tahoma" w:cs="Tahoma"/>
                <w:color w:val="000000"/>
                <w:sz w:val="20"/>
                <w:szCs w:val="20"/>
                <w:lang w:val="en-US"/>
              </w:rPr>
              <w:t xml:space="preserve">Telco </w:t>
            </w:r>
          </w:p>
          <w:p w:rsidR="004A17AC" w:rsidRPr="00850EA4" w:rsidRDefault="004A17AC" w:rsidP="004A17AC">
            <w:pPr>
              <w:rPr>
                <w:rFonts w:ascii="Tahoma" w:hAnsi="Tahoma" w:cs="Tahoma"/>
                <w:color w:val="000000" w:themeColor="text1"/>
                <w:sz w:val="22"/>
                <w:szCs w:val="22"/>
                <w:lang w:val="en-US"/>
              </w:rPr>
            </w:pPr>
            <w:r w:rsidRPr="001D5052">
              <w:rPr>
                <w:rFonts w:ascii="Tahoma" w:hAnsi="Tahoma" w:cs="Tahoma"/>
                <w:color w:val="000000"/>
                <w:sz w:val="22"/>
                <w:szCs w:val="20"/>
              </w:rPr>
              <w:t xml:space="preserve">   </w:t>
            </w:r>
            <w:r w:rsidRPr="001D5052">
              <w:rPr>
                <w:rFonts w:ascii="Tahoma" w:hAnsi="Tahoma" w:cs="Tahoma"/>
                <w:color w:val="000000"/>
                <w:sz w:val="18"/>
                <w:szCs w:val="20"/>
                <w:lang w:val="en-US"/>
              </w:rPr>
              <w:t>(</w:t>
            </w:r>
            <w:r w:rsidRPr="001D5052">
              <w:rPr>
                <w:rFonts w:ascii="Tahoma" w:hAnsi="Tahoma" w:cs="Tahoma"/>
                <w:color w:val="000000"/>
                <w:sz w:val="18"/>
                <w:szCs w:val="20"/>
              </w:rPr>
              <w:t>Ομαλοποιημένα)</w:t>
            </w:r>
            <w:r w:rsidR="00185CE1">
              <w:rPr>
                <w:rFonts w:ascii="Tahoma" w:hAnsi="Tahoma" w:cs="Tahoma"/>
                <w:color w:val="000000"/>
                <w:sz w:val="18"/>
                <w:szCs w:val="20"/>
                <w:vertAlign w:val="superscript"/>
              </w:rPr>
              <w:t>2</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35.973</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36.086</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-0,3%</w:t>
            </w:r>
          </w:p>
        </w:tc>
      </w:tr>
      <w:tr w:rsidR="004A17AC" w:rsidRPr="00850EA4" w:rsidTr="00067287">
        <w:trPr>
          <w:trHeight w:hRule="exact" w:val="340"/>
        </w:trPr>
        <w:tc>
          <w:tcPr>
            <w:tcW w:w="4395" w:type="dxa"/>
            <w:shd w:val="clear" w:color="auto" w:fill="F2F2F2"/>
            <w:vAlign w:val="center"/>
          </w:tcPr>
          <w:p w:rsidR="004A17AC" w:rsidRPr="00850EA4" w:rsidRDefault="004A17AC" w:rsidP="004A17AC">
            <w:pPr>
              <w:jc w:val="both"/>
              <w:rPr>
                <w:rFonts w:ascii="Tahoma" w:hAnsi="Tahoma" w:cs="Tahoma"/>
                <w:color w:val="000000"/>
                <w:sz w:val="22"/>
                <w:szCs w:val="22"/>
                <w:lang w:val="en-US"/>
              </w:rPr>
            </w:pPr>
            <w:r w:rsidRPr="00850EA4">
              <w:rPr>
                <w:rFonts w:ascii="Tahoma" w:hAnsi="Tahoma" w:cs="Tahoma"/>
                <w:color w:val="000000"/>
                <w:sz w:val="22"/>
                <w:szCs w:val="22"/>
              </w:rPr>
              <w:t xml:space="preserve">   Εταιρικοί πελάτες - Pay TV</w:t>
            </w:r>
            <w:r w:rsidRPr="00850EA4">
              <w:rPr>
                <w:rFonts w:ascii="Tahoma" w:hAnsi="Tahoma" w:cs="Tahoma"/>
                <w:color w:val="000000"/>
                <w:sz w:val="22"/>
                <w:szCs w:val="22"/>
                <w:lang w:val="en-US"/>
              </w:rPr>
              <w:t xml:space="preserve">       </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17.882</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19.051</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0"/>
                <w:szCs w:val="20"/>
              </w:rPr>
            </w:pPr>
            <w:r w:rsidRPr="004A17AC">
              <w:rPr>
                <w:rFonts w:ascii="Tahoma" w:hAnsi="Tahoma" w:cs="Tahoma"/>
                <w:color w:val="000000" w:themeColor="text1"/>
                <w:sz w:val="20"/>
                <w:szCs w:val="20"/>
              </w:rPr>
              <w:t>-6,1%</w:t>
            </w:r>
          </w:p>
        </w:tc>
      </w:tr>
      <w:tr w:rsidR="004A17AC" w:rsidRPr="00850EA4" w:rsidTr="00067287">
        <w:trPr>
          <w:trHeight w:hRule="exact" w:val="340"/>
        </w:trPr>
        <w:tc>
          <w:tcPr>
            <w:tcW w:w="4395" w:type="dxa"/>
            <w:shd w:val="clear" w:color="auto" w:fill="F2F2F2"/>
            <w:vAlign w:val="center"/>
          </w:tcPr>
          <w:p w:rsidR="004A17AC" w:rsidRPr="00850EA4" w:rsidRDefault="004A17AC" w:rsidP="004A17AC">
            <w:pPr>
              <w:rPr>
                <w:rFonts w:ascii="Tahoma" w:hAnsi="Tahoma" w:cs="Tahoma"/>
                <w:color w:val="000000"/>
                <w:sz w:val="22"/>
                <w:szCs w:val="22"/>
              </w:rPr>
            </w:pPr>
            <w:r w:rsidRPr="00850EA4">
              <w:rPr>
                <w:rFonts w:ascii="Tahoma" w:hAnsi="Tahoma" w:cs="Tahoma"/>
                <w:color w:val="000000"/>
                <w:sz w:val="22"/>
                <w:szCs w:val="22"/>
              </w:rPr>
              <w:t>Διαφήμιση</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7.179</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6.442</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11,4%</w:t>
            </w:r>
          </w:p>
        </w:tc>
      </w:tr>
      <w:tr w:rsidR="004A17AC" w:rsidRPr="00850EA4" w:rsidTr="00067287">
        <w:trPr>
          <w:trHeight w:hRule="exact" w:val="340"/>
        </w:trPr>
        <w:tc>
          <w:tcPr>
            <w:tcW w:w="4395" w:type="dxa"/>
            <w:shd w:val="clear" w:color="auto" w:fill="F2F2F2"/>
            <w:vAlign w:val="center"/>
          </w:tcPr>
          <w:p w:rsidR="004A17AC" w:rsidRPr="00850EA4" w:rsidRDefault="004A17AC" w:rsidP="004A17AC">
            <w:pPr>
              <w:rPr>
                <w:rFonts w:ascii="Tahoma" w:hAnsi="Tahoma" w:cs="Tahoma"/>
                <w:color w:val="000000"/>
                <w:sz w:val="22"/>
                <w:szCs w:val="22"/>
              </w:rPr>
            </w:pPr>
            <w:r w:rsidRPr="00850EA4">
              <w:rPr>
                <w:rFonts w:ascii="Tahoma" w:hAnsi="Tahoma" w:cs="Tahoma"/>
                <w:color w:val="000000"/>
                <w:sz w:val="22"/>
                <w:szCs w:val="22"/>
              </w:rPr>
              <w:t>Λοιπά έσοδα</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15.659</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13.758</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13,8%</w:t>
            </w:r>
          </w:p>
        </w:tc>
      </w:tr>
      <w:tr w:rsidR="004A17AC" w:rsidRPr="00850EA4" w:rsidTr="00067287">
        <w:trPr>
          <w:trHeight w:hRule="exact" w:val="340"/>
        </w:trPr>
        <w:tc>
          <w:tcPr>
            <w:tcW w:w="4395" w:type="dxa"/>
            <w:shd w:val="clear" w:color="auto" w:fill="F2F2F2"/>
            <w:vAlign w:val="center"/>
          </w:tcPr>
          <w:p w:rsidR="004A17AC" w:rsidRDefault="004A17AC" w:rsidP="004A17AC">
            <w:pPr>
              <w:rPr>
                <w:rFonts w:ascii="Tahoma" w:hAnsi="Tahoma" w:cs="Tahoma"/>
                <w:b/>
                <w:color w:val="000000"/>
                <w:sz w:val="22"/>
                <w:szCs w:val="22"/>
              </w:rPr>
            </w:pPr>
            <w:r>
              <w:rPr>
                <w:rFonts w:ascii="Tahoma" w:hAnsi="Tahoma" w:cs="Tahoma"/>
                <w:b/>
                <w:color w:val="000000"/>
                <w:sz w:val="22"/>
                <w:szCs w:val="22"/>
              </w:rPr>
              <w:t>Συνολικά Έσοδα</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324.710</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352.049</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-7,8%</w:t>
            </w:r>
          </w:p>
        </w:tc>
      </w:tr>
      <w:tr w:rsidR="004A17AC" w:rsidRPr="00850EA4" w:rsidTr="00067287">
        <w:trPr>
          <w:trHeight w:hRule="exact" w:val="340"/>
        </w:trPr>
        <w:tc>
          <w:tcPr>
            <w:tcW w:w="4395" w:type="dxa"/>
            <w:shd w:val="clear" w:color="auto" w:fill="F2F2F2"/>
            <w:vAlign w:val="center"/>
          </w:tcPr>
          <w:p w:rsidR="004A17AC" w:rsidRPr="00850EA4" w:rsidRDefault="004A17AC" w:rsidP="004A17AC">
            <w:pPr>
              <w:rPr>
                <w:rFonts w:ascii="Tahoma" w:hAnsi="Tahoma" w:cs="Tahoma"/>
                <w:b/>
                <w:color w:val="000000"/>
                <w:sz w:val="22"/>
                <w:szCs w:val="22"/>
              </w:rPr>
            </w:pPr>
            <w:r>
              <w:rPr>
                <w:rFonts w:ascii="Tahoma" w:hAnsi="Tahoma" w:cs="Tahoma"/>
                <w:b/>
                <w:color w:val="000000"/>
                <w:sz w:val="22"/>
              </w:rPr>
              <w:t>Συνολικά Έσοδα</w:t>
            </w:r>
            <w:r w:rsidRPr="001D5052">
              <w:rPr>
                <w:rFonts w:ascii="Tahoma" w:hAnsi="Tahoma" w:cs="Tahoma"/>
                <w:b/>
                <w:color w:val="000000"/>
                <w:sz w:val="22"/>
                <w:szCs w:val="20"/>
                <w:lang w:val="en-US"/>
              </w:rPr>
              <w:t xml:space="preserve"> </w:t>
            </w:r>
            <w:r w:rsidRPr="001D5052">
              <w:rPr>
                <w:rFonts w:ascii="Tahoma" w:hAnsi="Tahoma" w:cs="Tahoma"/>
                <w:b/>
                <w:color w:val="000000"/>
                <w:sz w:val="18"/>
                <w:szCs w:val="20"/>
                <w:lang w:val="en-US"/>
              </w:rPr>
              <w:t>(</w:t>
            </w:r>
            <w:r w:rsidRPr="001D5052">
              <w:rPr>
                <w:rFonts w:ascii="Tahoma" w:hAnsi="Tahoma" w:cs="Tahoma"/>
                <w:b/>
                <w:color w:val="000000"/>
                <w:sz w:val="18"/>
                <w:szCs w:val="20"/>
              </w:rPr>
              <w:t>Ομαλοποιημένα)</w:t>
            </w:r>
            <w:r w:rsidR="00185CE1">
              <w:rPr>
                <w:rFonts w:ascii="Tahoma" w:hAnsi="Tahoma" w:cs="Tahoma"/>
                <w:b/>
                <w:color w:val="000000"/>
                <w:sz w:val="18"/>
                <w:szCs w:val="20"/>
                <w:vertAlign w:val="superscript"/>
              </w:rPr>
              <w:t>2</w:t>
            </w:r>
          </w:p>
        </w:tc>
        <w:tc>
          <w:tcPr>
            <w:tcW w:w="2268" w:type="dxa"/>
            <w:shd w:val="clear" w:color="auto" w:fill="F2F2F2"/>
            <w:vAlign w:val="center"/>
          </w:tcPr>
          <w:p w:rsidR="004A17AC" w:rsidRPr="004A17AC" w:rsidRDefault="004A17AC" w:rsidP="004A17AC">
            <w:pPr>
              <w:jc w:val="center"/>
              <w:rPr>
                <w:rFonts w:ascii="Tahoma" w:hAnsi="Tahoma" w:cs="Tahoma"/>
                <w:b/>
                <w:bCs/>
                <w:color w:val="000000" w:themeColor="text1"/>
                <w:sz w:val="22"/>
                <w:szCs w:val="22"/>
              </w:rPr>
            </w:pPr>
            <w:r w:rsidRPr="004A17AC">
              <w:rPr>
                <w:rFonts w:ascii="Tahoma" w:hAnsi="Tahoma" w:cs="Tahoma"/>
                <w:b/>
                <w:bCs/>
                <w:color w:val="000000" w:themeColor="text1"/>
                <w:sz w:val="22"/>
                <w:szCs w:val="22"/>
              </w:rPr>
              <w:t>325.115</w:t>
            </w:r>
          </w:p>
        </w:tc>
        <w:tc>
          <w:tcPr>
            <w:tcW w:w="2268" w:type="dxa"/>
            <w:shd w:val="clear" w:color="auto" w:fill="F2F2F2"/>
            <w:vAlign w:val="center"/>
          </w:tcPr>
          <w:p w:rsidR="004A17AC" w:rsidRPr="004A17AC" w:rsidRDefault="004A17AC" w:rsidP="004A17AC">
            <w:pPr>
              <w:jc w:val="center"/>
              <w:rPr>
                <w:rFonts w:ascii="Tahoma" w:hAnsi="Tahoma" w:cs="Tahoma"/>
                <w:b/>
                <w:bCs/>
                <w:color w:val="000000" w:themeColor="text1"/>
                <w:sz w:val="22"/>
                <w:szCs w:val="22"/>
              </w:rPr>
            </w:pPr>
            <w:r w:rsidRPr="004A17AC">
              <w:rPr>
                <w:rFonts w:ascii="Tahoma" w:hAnsi="Tahoma" w:cs="Tahoma"/>
                <w:b/>
                <w:bCs/>
                <w:color w:val="000000" w:themeColor="text1"/>
                <w:sz w:val="22"/>
                <w:szCs w:val="22"/>
              </w:rPr>
              <w:t>352.489</w:t>
            </w:r>
          </w:p>
        </w:tc>
        <w:tc>
          <w:tcPr>
            <w:tcW w:w="1559" w:type="dxa"/>
            <w:shd w:val="clear" w:color="auto" w:fill="F2F2F2"/>
            <w:vAlign w:val="center"/>
          </w:tcPr>
          <w:p w:rsidR="004A17AC" w:rsidRPr="004A17AC" w:rsidRDefault="004A17AC" w:rsidP="004A17AC">
            <w:pPr>
              <w:jc w:val="center"/>
              <w:rPr>
                <w:rFonts w:ascii="Tahoma" w:hAnsi="Tahoma" w:cs="Tahoma"/>
                <w:b/>
                <w:bCs/>
                <w:color w:val="000000" w:themeColor="text1"/>
                <w:sz w:val="22"/>
                <w:szCs w:val="22"/>
              </w:rPr>
            </w:pPr>
            <w:r w:rsidRPr="004A17AC">
              <w:rPr>
                <w:rFonts w:ascii="Tahoma" w:hAnsi="Tahoma" w:cs="Tahoma"/>
                <w:b/>
                <w:bCs/>
                <w:color w:val="000000" w:themeColor="text1"/>
                <w:sz w:val="22"/>
                <w:szCs w:val="22"/>
              </w:rPr>
              <w:t>-7,8%</w:t>
            </w:r>
          </w:p>
        </w:tc>
      </w:tr>
    </w:tbl>
    <w:p w:rsidR="00105D2A" w:rsidRDefault="00105D2A" w:rsidP="008273A8">
      <w:pPr>
        <w:widowControl w:val="0"/>
        <w:autoSpaceDE w:val="0"/>
        <w:autoSpaceDN w:val="0"/>
        <w:adjustRightInd w:val="0"/>
        <w:jc w:val="both"/>
        <w:rPr>
          <w:rFonts w:ascii="Tahoma" w:hAnsi="Tahoma" w:cs="Tahoma"/>
          <w:i/>
          <w:iCs/>
          <w:szCs w:val="20"/>
          <w:highlight w:val="yellow"/>
        </w:rPr>
      </w:pPr>
    </w:p>
    <w:p w:rsidR="00DA1B17" w:rsidRDefault="000514DD" w:rsidP="000514DD">
      <w:pPr>
        <w:widowControl w:val="0"/>
        <w:autoSpaceDE w:val="0"/>
        <w:autoSpaceDN w:val="0"/>
        <w:adjustRightInd w:val="0"/>
        <w:jc w:val="both"/>
        <w:rPr>
          <w:rFonts w:ascii="Tahoma" w:hAnsi="Tahoma" w:cs="Tahoma"/>
        </w:rPr>
      </w:pPr>
      <w:r>
        <w:rPr>
          <w:rFonts w:ascii="Tahoma" w:hAnsi="Tahoma" w:cs="Tahoma"/>
        </w:rPr>
        <w:t xml:space="preserve">Οι </w:t>
      </w:r>
      <w:r w:rsidR="007E354D">
        <w:rPr>
          <w:rFonts w:ascii="Tahoma" w:hAnsi="Tahoma" w:cs="Tahoma"/>
        </w:rPr>
        <w:t xml:space="preserve">συνεχείς </w:t>
      </w:r>
      <w:r>
        <w:rPr>
          <w:rFonts w:ascii="Tahoma" w:hAnsi="Tahoma" w:cs="Tahoma"/>
        </w:rPr>
        <w:t xml:space="preserve">προσπάθειες βελτιστοποίησης της κοστολογικής μας βάσης αύξησαν το περιθώριο </w:t>
      </w:r>
      <w:r>
        <w:rPr>
          <w:rFonts w:ascii="Tahoma" w:hAnsi="Tahoma" w:cs="Tahoma"/>
          <w:lang w:val="en-US"/>
        </w:rPr>
        <w:t>EBITDA</w:t>
      </w:r>
      <w:r w:rsidRPr="00BB6E46">
        <w:rPr>
          <w:rFonts w:ascii="Tahoma" w:hAnsi="Tahoma" w:cs="Tahoma"/>
        </w:rPr>
        <w:t xml:space="preserve"> </w:t>
      </w:r>
      <w:r>
        <w:rPr>
          <w:rFonts w:ascii="Tahoma" w:hAnsi="Tahoma" w:cs="Tahoma"/>
        </w:rPr>
        <w:t>από 14,3% σε 1</w:t>
      </w:r>
      <w:r w:rsidR="004A17AC">
        <w:rPr>
          <w:rFonts w:ascii="Tahoma" w:hAnsi="Tahoma" w:cs="Tahoma"/>
        </w:rPr>
        <w:t>6</w:t>
      </w:r>
      <w:r>
        <w:rPr>
          <w:rFonts w:ascii="Tahoma" w:hAnsi="Tahoma" w:cs="Tahoma"/>
        </w:rPr>
        <w:t>,</w:t>
      </w:r>
      <w:r w:rsidR="004A17AC">
        <w:rPr>
          <w:rFonts w:ascii="Tahoma" w:hAnsi="Tahoma" w:cs="Tahoma"/>
        </w:rPr>
        <w:t>9</w:t>
      </w:r>
      <w:r>
        <w:rPr>
          <w:rFonts w:ascii="Tahoma" w:hAnsi="Tahoma" w:cs="Tahoma"/>
        </w:rPr>
        <w:t xml:space="preserve">%. </w:t>
      </w:r>
      <w:r w:rsidRPr="00B45DF6">
        <w:rPr>
          <w:rFonts w:ascii="Tahoma" w:hAnsi="Tahoma" w:cs="Tahoma"/>
        </w:rPr>
        <w:t>Τ</w:t>
      </w:r>
      <w:r>
        <w:rPr>
          <w:rFonts w:ascii="Tahoma" w:hAnsi="Tahoma" w:cs="Tahoma"/>
        </w:rPr>
        <w:t>α</w:t>
      </w:r>
      <w:r w:rsidRPr="00B45DF6">
        <w:rPr>
          <w:rFonts w:ascii="Tahoma" w:hAnsi="Tahoma" w:cs="Tahoma"/>
        </w:rPr>
        <w:t xml:space="preserve"> προσαρμοσμέν</w:t>
      </w:r>
      <w:r>
        <w:rPr>
          <w:rFonts w:ascii="Tahoma" w:hAnsi="Tahoma" w:cs="Tahoma"/>
        </w:rPr>
        <w:t>α</w:t>
      </w:r>
      <w:r w:rsidRPr="00B45DF6">
        <w:rPr>
          <w:rFonts w:ascii="Tahoma" w:hAnsi="Tahoma" w:cs="Tahoma"/>
        </w:rPr>
        <w:t xml:space="preserve"> </w:t>
      </w:r>
      <w:r w:rsidRPr="00B45DF6">
        <w:rPr>
          <w:rFonts w:ascii="Tahoma" w:hAnsi="Tahoma" w:cs="Tahoma"/>
          <w:lang w:val="en-US"/>
        </w:rPr>
        <w:t>EBITDA</w:t>
      </w:r>
      <w:r w:rsidRPr="00B45DF6">
        <w:rPr>
          <w:rFonts w:ascii="Tahoma" w:hAnsi="Tahoma" w:cs="Tahoma"/>
        </w:rPr>
        <w:t xml:space="preserve"> του</w:t>
      </w:r>
      <w:r>
        <w:rPr>
          <w:rFonts w:ascii="Tahoma" w:hAnsi="Tahoma" w:cs="Tahoma"/>
        </w:rPr>
        <w:t xml:space="preserve"> δωδεκαμήνου του 2016</w:t>
      </w:r>
      <w:r w:rsidRPr="00B45DF6">
        <w:rPr>
          <w:rFonts w:ascii="Tahoma" w:hAnsi="Tahoma" w:cs="Tahoma"/>
        </w:rPr>
        <w:t xml:space="preserve"> ανήλθαν στα €</w:t>
      </w:r>
      <w:r>
        <w:rPr>
          <w:rFonts w:ascii="Tahoma" w:hAnsi="Tahoma" w:cs="Tahoma"/>
        </w:rPr>
        <w:t>5</w:t>
      </w:r>
      <w:r w:rsidR="004A17AC">
        <w:rPr>
          <w:rFonts w:ascii="Tahoma" w:hAnsi="Tahoma" w:cs="Tahoma"/>
        </w:rPr>
        <w:t>4</w:t>
      </w:r>
      <w:r>
        <w:rPr>
          <w:rFonts w:ascii="Tahoma" w:hAnsi="Tahoma" w:cs="Tahoma"/>
        </w:rPr>
        <w:t>,</w:t>
      </w:r>
      <w:r w:rsidR="004A17AC">
        <w:rPr>
          <w:rFonts w:ascii="Tahoma" w:hAnsi="Tahoma" w:cs="Tahoma"/>
        </w:rPr>
        <w:t>8</w:t>
      </w:r>
      <w:r w:rsidRPr="00B45DF6">
        <w:rPr>
          <w:rFonts w:ascii="Tahoma" w:hAnsi="Tahoma" w:cs="Tahoma"/>
        </w:rPr>
        <w:t xml:space="preserve"> εκατ., έναντι €</w:t>
      </w:r>
      <w:r>
        <w:rPr>
          <w:rFonts w:ascii="Tahoma" w:hAnsi="Tahoma" w:cs="Tahoma"/>
        </w:rPr>
        <w:t>50</w:t>
      </w:r>
      <w:r w:rsidRPr="00B45DF6">
        <w:rPr>
          <w:rFonts w:ascii="Tahoma" w:hAnsi="Tahoma" w:cs="Tahoma"/>
        </w:rPr>
        <w:t>,</w:t>
      </w:r>
      <w:r>
        <w:rPr>
          <w:rFonts w:ascii="Tahoma" w:hAnsi="Tahoma" w:cs="Tahoma"/>
        </w:rPr>
        <w:t>5</w:t>
      </w:r>
      <w:r w:rsidRPr="00B45DF6">
        <w:rPr>
          <w:rFonts w:ascii="Tahoma" w:hAnsi="Tahoma" w:cs="Tahoma"/>
        </w:rPr>
        <w:t xml:space="preserve"> εκατ. του </w:t>
      </w:r>
      <w:r>
        <w:rPr>
          <w:rFonts w:ascii="Tahoma" w:hAnsi="Tahoma" w:cs="Tahoma"/>
        </w:rPr>
        <w:t>δωδεκαμήνου του 2015.</w:t>
      </w:r>
    </w:p>
    <w:p w:rsidR="00676C2F" w:rsidRPr="00924993" w:rsidRDefault="00676C2F" w:rsidP="00F32ACF">
      <w:pPr>
        <w:widowControl w:val="0"/>
        <w:autoSpaceDE w:val="0"/>
        <w:autoSpaceDN w:val="0"/>
        <w:adjustRightInd w:val="0"/>
        <w:jc w:val="both"/>
        <w:rPr>
          <w:rFonts w:ascii="Tahoma" w:hAnsi="Tahoma" w:cs="Tahoma"/>
          <w:highlight w:val="yellow"/>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268"/>
        <w:gridCol w:w="2268"/>
        <w:gridCol w:w="1559"/>
      </w:tblGrid>
      <w:tr w:rsidR="0071333C" w:rsidRPr="00924993" w:rsidTr="00067287">
        <w:trPr>
          <w:trHeight w:hRule="exact" w:val="504"/>
        </w:trPr>
        <w:tc>
          <w:tcPr>
            <w:tcW w:w="4395" w:type="dxa"/>
            <w:tcBorders>
              <w:bottom w:val="single" w:sz="4" w:space="0" w:color="auto"/>
            </w:tcBorders>
            <w:shd w:val="clear" w:color="auto" w:fill="D9D9D9"/>
            <w:vAlign w:val="center"/>
          </w:tcPr>
          <w:p w:rsidR="0071333C" w:rsidRPr="00924993" w:rsidRDefault="0071333C" w:rsidP="0071333C">
            <w:pPr>
              <w:jc w:val="center"/>
              <w:rPr>
                <w:rFonts w:ascii="Tahoma" w:hAnsi="Tahoma" w:cs="Tahoma"/>
                <w:i/>
                <w:iCs/>
                <w:color w:val="000000"/>
                <w:sz w:val="20"/>
              </w:rPr>
            </w:pPr>
            <w:r w:rsidRPr="00924993">
              <w:rPr>
                <w:rFonts w:ascii="Tahoma" w:hAnsi="Tahoma" w:cs="Tahoma"/>
                <w:b/>
                <w:bCs/>
                <w:i/>
                <w:iCs/>
                <w:color w:val="000000"/>
                <w:sz w:val="22"/>
              </w:rPr>
              <w:t xml:space="preserve">Ανάλυση </w:t>
            </w:r>
            <w:r w:rsidRPr="00924993">
              <w:rPr>
                <w:rFonts w:ascii="Tahoma" w:hAnsi="Tahoma" w:cs="Tahoma"/>
                <w:b/>
                <w:bCs/>
                <w:i/>
                <w:iCs/>
                <w:color w:val="000000"/>
                <w:sz w:val="22"/>
                <w:lang w:val="en-US"/>
              </w:rPr>
              <w:t>EBITDA</w:t>
            </w:r>
            <w:r w:rsidRPr="00924993">
              <w:rPr>
                <w:rFonts w:ascii="Tahoma" w:hAnsi="Tahoma" w:cs="Tahoma"/>
                <w:b/>
                <w:bCs/>
                <w:i/>
                <w:iCs/>
                <w:color w:val="000000"/>
                <w:sz w:val="22"/>
              </w:rPr>
              <w:t xml:space="preserve"> </w:t>
            </w:r>
            <w:r w:rsidRPr="00924993">
              <w:rPr>
                <w:rFonts w:ascii="Tahoma" w:hAnsi="Tahoma" w:cs="Tahoma"/>
                <w:i/>
                <w:iCs/>
                <w:color w:val="000000"/>
                <w:sz w:val="22"/>
              </w:rPr>
              <w:t>(€ ‘000)</w:t>
            </w:r>
          </w:p>
        </w:tc>
        <w:tc>
          <w:tcPr>
            <w:tcW w:w="2268" w:type="dxa"/>
            <w:tcBorders>
              <w:bottom w:val="single" w:sz="4" w:space="0" w:color="auto"/>
            </w:tcBorders>
            <w:shd w:val="clear" w:color="auto" w:fill="D9D9D9"/>
            <w:vAlign w:val="center"/>
          </w:tcPr>
          <w:p w:rsidR="0071333C" w:rsidRPr="00C24DFD" w:rsidRDefault="0071333C" w:rsidP="0071333C">
            <w:pPr>
              <w:jc w:val="center"/>
              <w:rPr>
                <w:rFonts w:ascii="Tahoma" w:hAnsi="Tahoma" w:cs="Tahoma"/>
                <w:b/>
                <w:bCs/>
                <w:color w:val="000000" w:themeColor="text1"/>
                <w:sz w:val="22"/>
                <w:szCs w:val="22"/>
                <w:lang w:val="en-US" w:eastAsia="en-US"/>
              </w:rPr>
            </w:pPr>
            <w:r>
              <w:rPr>
                <w:rFonts w:ascii="Tahoma" w:hAnsi="Tahoma" w:cs="Tahoma"/>
                <w:b/>
                <w:bCs/>
                <w:color w:val="000000" w:themeColor="text1"/>
                <w:sz w:val="22"/>
                <w:szCs w:val="22"/>
              </w:rPr>
              <w:t>12M 2016</w:t>
            </w:r>
          </w:p>
        </w:tc>
        <w:tc>
          <w:tcPr>
            <w:tcW w:w="2268" w:type="dxa"/>
            <w:tcBorders>
              <w:bottom w:val="single" w:sz="4" w:space="0" w:color="auto"/>
            </w:tcBorders>
            <w:shd w:val="clear" w:color="auto" w:fill="D9D9D9"/>
            <w:vAlign w:val="center"/>
          </w:tcPr>
          <w:p w:rsidR="0071333C" w:rsidRPr="00C24DFD" w:rsidRDefault="0071333C" w:rsidP="0071333C">
            <w:pPr>
              <w:jc w:val="center"/>
              <w:rPr>
                <w:rFonts w:ascii="Tahoma" w:hAnsi="Tahoma" w:cs="Tahoma"/>
                <w:b/>
                <w:bCs/>
                <w:color w:val="000000" w:themeColor="text1"/>
                <w:sz w:val="22"/>
                <w:szCs w:val="22"/>
              </w:rPr>
            </w:pPr>
            <w:r>
              <w:rPr>
                <w:rFonts w:ascii="Tahoma" w:hAnsi="Tahoma" w:cs="Tahoma"/>
                <w:b/>
                <w:bCs/>
                <w:color w:val="000000" w:themeColor="text1"/>
                <w:sz w:val="22"/>
                <w:szCs w:val="22"/>
              </w:rPr>
              <w:t>12M 2015</w:t>
            </w:r>
          </w:p>
        </w:tc>
        <w:tc>
          <w:tcPr>
            <w:tcW w:w="1559" w:type="dxa"/>
            <w:tcBorders>
              <w:bottom w:val="single" w:sz="4" w:space="0" w:color="auto"/>
            </w:tcBorders>
            <w:shd w:val="clear" w:color="auto" w:fill="D9D9D9"/>
            <w:vAlign w:val="center"/>
          </w:tcPr>
          <w:p w:rsidR="0071333C" w:rsidRPr="00A939DD" w:rsidRDefault="0071333C" w:rsidP="0071333C">
            <w:pPr>
              <w:jc w:val="center"/>
              <w:rPr>
                <w:rFonts w:ascii="Tahoma" w:hAnsi="Tahoma" w:cs="Tahoma"/>
                <w:b/>
                <w:bCs/>
                <w:color w:val="000000"/>
                <w:sz w:val="22"/>
                <w:szCs w:val="22"/>
              </w:rPr>
            </w:pPr>
            <w:r w:rsidRPr="00A939DD">
              <w:rPr>
                <w:rFonts w:ascii="Tahoma" w:hAnsi="Tahoma" w:cs="Tahoma"/>
                <w:b/>
                <w:bCs/>
                <w:color w:val="000000"/>
                <w:sz w:val="22"/>
                <w:szCs w:val="22"/>
              </w:rPr>
              <w:t>Δ</w:t>
            </w:r>
          </w:p>
        </w:tc>
      </w:tr>
      <w:tr w:rsidR="004A17AC" w:rsidRPr="00924993" w:rsidTr="00067287">
        <w:trPr>
          <w:trHeight w:hRule="exact" w:val="427"/>
        </w:trPr>
        <w:tc>
          <w:tcPr>
            <w:tcW w:w="4395" w:type="dxa"/>
            <w:shd w:val="clear" w:color="auto" w:fill="F2F2F2"/>
            <w:vAlign w:val="center"/>
          </w:tcPr>
          <w:p w:rsidR="004A17AC" w:rsidRPr="009E6A06" w:rsidRDefault="004A17AC" w:rsidP="004A17AC">
            <w:pPr>
              <w:rPr>
                <w:rFonts w:ascii="Tahoma" w:hAnsi="Tahoma" w:cs="Tahoma"/>
                <w:color w:val="000000"/>
              </w:rPr>
            </w:pPr>
            <w:r w:rsidRPr="00924993">
              <w:rPr>
                <w:rFonts w:ascii="Tahoma" w:hAnsi="Tahoma" w:cs="Tahoma"/>
                <w:color w:val="000000"/>
              </w:rPr>
              <w:t xml:space="preserve">Συνολικά έσοδα </w:t>
            </w:r>
            <w:r w:rsidRPr="00924993">
              <w:rPr>
                <w:rFonts w:ascii="Tahoma" w:hAnsi="Tahoma" w:cs="Tahoma"/>
                <w:color w:val="000000"/>
                <w:sz w:val="18"/>
                <w:szCs w:val="16"/>
              </w:rPr>
              <w:t>(συμπ. λοιπών εσόδων)</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lang w:val="en-US" w:eastAsia="en-US"/>
              </w:rPr>
            </w:pPr>
            <w:r w:rsidRPr="004A17AC">
              <w:rPr>
                <w:rFonts w:ascii="Tahoma" w:hAnsi="Tahoma" w:cs="Tahoma"/>
                <w:color w:val="000000" w:themeColor="text1"/>
                <w:sz w:val="22"/>
                <w:szCs w:val="22"/>
              </w:rPr>
              <w:t>324.710</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352.049</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-7,8%</w:t>
            </w:r>
          </w:p>
        </w:tc>
      </w:tr>
      <w:tr w:rsidR="004A17AC" w:rsidRPr="00924993" w:rsidTr="00067287">
        <w:trPr>
          <w:trHeight w:hRule="exact" w:val="427"/>
        </w:trPr>
        <w:tc>
          <w:tcPr>
            <w:tcW w:w="4395" w:type="dxa"/>
            <w:shd w:val="clear" w:color="auto" w:fill="F2F2F2"/>
            <w:vAlign w:val="center"/>
          </w:tcPr>
          <w:p w:rsidR="004A17AC" w:rsidRPr="00924993" w:rsidRDefault="004A17AC" w:rsidP="004A17AC">
            <w:pPr>
              <w:rPr>
                <w:rFonts w:ascii="Tahoma" w:hAnsi="Tahoma" w:cs="Tahoma"/>
                <w:color w:val="000000"/>
              </w:rPr>
            </w:pPr>
            <w:r>
              <w:rPr>
                <w:rFonts w:ascii="Tahoma" w:hAnsi="Tahoma" w:cs="Tahoma"/>
                <w:color w:val="000000"/>
                <w:sz w:val="22"/>
              </w:rPr>
              <w:t xml:space="preserve">Συνολικά έσοδα </w:t>
            </w:r>
            <w:r w:rsidRPr="00192A82">
              <w:rPr>
                <w:rFonts w:ascii="Tahoma" w:hAnsi="Tahoma" w:cs="Tahoma"/>
                <w:color w:val="000000"/>
                <w:sz w:val="18"/>
                <w:szCs w:val="16"/>
              </w:rPr>
              <w:t>(ομαλοποιημένα</w:t>
            </w:r>
            <w:r w:rsidRPr="00192A82">
              <w:rPr>
                <w:rFonts w:ascii="Tahoma" w:hAnsi="Tahoma" w:cs="Tahoma"/>
                <w:color w:val="000000"/>
                <w:sz w:val="18"/>
                <w:szCs w:val="16"/>
                <w:lang w:val="en-US"/>
              </w:rPr>
              <w:t>)</w:t>
            </w:r>
            <w:r w:rsidR="00185CE1">
              <w:rPr>
                <w:rFonts w:ascii="Tahoma" w:hAnsi="Tahoma" w:cs="Tahoma"/>
                <w:color w:val="000000"/>
                <w:sz w:val="18"/>
                <w:szCs w:val="16"/>
                <w:vertAlign w:val="superscript"/>
              </w:rPr>
              <w:t>2</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325.115</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352.488</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-7,8%</w:t>
            </w:r>
          </w:p>
        </w:tc>
      </w:tr>
      <w:tr w:rsidR="004A17AC" w:rsidRPr="00924993" w:rsidTr="00067287">
        <w:trPr>
          <w:trHeight w:hRule="exact" w:val="340"/>
        </w:trPr>
        <w:tc>
          <w:tcPr>
            <w:tcW w:w="4395" w:type="dxa"/>
            <w:shd w:val="clear" w:color="auto" w:fill="F2F2F2"/>
            <w:vAlign w:val="center"/>
          </w:tcPr>
          <w:p w:rsidR="004A17AC" w:rsidRPr="00924993" w:rsidRDefault="004A17AC" w:rsidP="004A17AC">
            <w:pPr>
              <w:rPr>
                <w:rFonts w:ascii="Tahoma" w:hAnsi="Tahoma" w:cs="Tahoma"/>
                <w:color w:val="000000"/>
              </w:rPr>
            </w:pPr>
            <w:r w:rsidRPr="00924993">
              <w:rPr>
                <w:rFonts w:ascii="Tahoma" w:hAnsi="Tahoma" w:cs="Tahoma"/>
                <w:color w:val="000000"/>
              </w:rPr>
              <w:t xml:space="preserve">Δημοσιευμένα </w:t>
            </w:r>
            <w:r w:rsidRPr="00924993">
              <w:rPr>
                <w:rFonts w:ascii="Tahoma" w:hAnsi="Tahoma" w:cs="Tahoma"/>
                <w:color w:val="000000"/>
                <w:lang w:val="en-US"/>
              </w:rPr>
              <w:t>EBITDA</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54.836</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48.225</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13,7%</w:t>
            </w:r>
          </w:p>
        </w:tc>
      </w:tr>
      <w:tr w:rsidR="004A17AC" w:rsidRPr="00924993" w:rsidTr="00067287">
        <w:trPr>
          <w:trHeight w:hRule="exact" w:val="340"/>
        </w:trPr>
        <w:tc>
          <w:tcPr>
            <w:tcW w:w="4395" w:type="dxa"/>
            <w:shd w:val="clear" w:color="auto" w:fill="F2F2F2"/>
            <w:vAlign w:val="center"/>
          </w:tcPr>
          <w:p w:rsidR="004A17AC" w:rsidRPr="00924993" w:rsidRDefault="004A17AC" w:rsidP="004A17AC">
            <w:pPr>
              <w:rPr>
                <w:rFonts w:ascii="Tahoma" w:hAnsi="Tahoma" w:cs="Tahoma"/>
                <w:color w:val="000000"/>
              </w:rPr>
            </w:pPr>
            <w:r w:rsidRPr="00924993">
              <w:rPr>
                <w:rFonts w:ascii="Tahoma" w:hAnsi="Tahoma" w:cs="Tahoma"/>
                <w:color w:val="000000"/>
              </w:rPr>
              <w:t xml:space="preserve">Προσαρμοσμένα </w:t>
            </w:r>
            <w:r w:rsidRPr="00924993">
              <w:rPr>
                <w:rFonts w:ascii="Tahoma" w:hAnsi="Tahoma" w:cs="Tahoma"/>
                <w:color w:val="000000"/>
                <w:lang w:val="en-US"/>
              </w:rPr>
              <w:t>EBITDA</w:t>
            </w:r>
            <w:r w:rsidRPr="009A6844">
              <w:rPr>
                <w:rStyle w:val="FootnoteReference"/>
                <w:rFonts w:ascii="Tahoma" w:hAnsi="Tahoma" w:cs="Tahoma"/>
                <w:color w:val="000000"/>
                <w:sz w:val="18"/>
              </w:rPr>
              <w:footnoteReference w:id="3"/>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54.836</w:t>
            </w:r>
          </w:p>
        </w:tc>
        <w:tc>
          <w:tcPr>
            <w:tcW w:w="2268"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50.475</w:t>
            </w:r>
          </w:p>
        </w:tc>
        <w:tc>
          <w:tcPr>
            <w:tcW w:w="1559" w:type="dxa"/>
            <w:shd w:val="clear" w:color="auto" w:fill="F2F2F2"/>
            <w:vAlign w:val="center"/>
          </w:tcPr>
          <w:p w:rsidR="004A17AC" w:rsidRPr="004A17AC" w:rsidRDefault="004A17AC" w:rsidP="004A17AC">
            <w:pPr>
              <w:jc w:val="center"/>
              <w:rPr>
                <w:rFonts w:ascii="Tahoma" w:hAnsi="Tahoma" w:cs="Tahoma"/>
                <w:color w:val="000000" w:themeColor="text1"/>
                <w:sz w:val="22"/>
                <w:szCs w:val="22"/>
              </w:rPr>
            </w:pPr>
            <w:r w:rsidRPr="004A17AC">
              <w:rPr>
                <w:rFonts w:ascii="Tahoma" w:hAnsi="Tahoma" w:cs="Tahoma"/>
                <w:color w:val="000000" w:themeColor="text1"/>
                <w:sz w:val="22"/>
                <w:szCs w:val="22"/>
              </w:rPr>
              <w:t>8,6%</w:t>
            </w:r>
          </w:p>
        </w:tc>
      </w:tr>
      <w:tr w:rsidR="008053EA" w:rsidRPr="00924993" w:rsidTr="00067287">
        <w:trPr>
          <w:trHeight w:hRule="exact" w:val="340"/>
        </w:trPr>
        <w:tc>
          <w:tcPr>
            <w:tcW w:w="4395" w:type="dxa"/>
            <w:shd w:val="clear" w:color="auto" w:fill="F2F2F2"/>
            <w:vAlign w:val="center"/>
          </w:tcPr>
          <w:p w:rsidR="008053EA" w:rsidRPr="00924993" w:rsidRDefault="008053EA" w:rsidP="008053EA">
            <w:pPr>
              <w:rPr>
                <w:rFonts w:ascii="Tahoma" w:hAnsi="Tahoma" w:cs="Tahoma"/>
                <w:color w:val="000000"/>
              </w:rPr>
            </w:pPr>
            <w:r w:rsidRPr="00924993">
              <w:rPr>
                <w:rFonts w:ascii="Tahoma" w:hAnsi="Tahoma" w:cs="Tahoma"/>
                <w:color w:val="000000"/>
              </w:rPr>
              <w:t>Περιθώριο προσαρμοσμένων EBITDA</w:t>
            </w:r>
          </w:p>
        </w:tc>
        <w:tc>
          <w:tcPr>
            <w:tcW w:w="2268" w:type="dxa"/>
            <w:shd w:val="clear" w:color="auto" w:fill="F2F2F2"/>
            <w:vAlign w:val="center"/>
          </w:tcPr>
          <w:p w:rsidR="008053EA" w:rsidRPr="008053EA" w:rsidRDefault="004A17AC" w:rsidP="004A17AC">
            <w:pPr>
              <w:jc w:val="center"/>
              <w:rPr>
                <w:rFonts w:ascii="Tahoma" w:hAnsi="Tahoma" w:cs="Tahoma"/>
                <w:color w:val="000000" w:themeColor="text1"/>
                <w:sz w:val="22"/>
                <w:szCs w:val="22"/>
              </w:rPr>
            </w:pPr>
            <w:r>
              <w:rPr>
                <w:rFonts w:ascii="Tahoma" w:hAnsi="Tahoma" w:cs="Tahoma"/>
                <w:color w:val="000000" w:themeColor="text1"/>
                <w:sz w:val="22"/>
                <w:szCs w:val="22"/>
              </w:rPr>
              <w:t>16</w:t>
            </w:r>
            <w:r w:rsidR="008053EA" w:rsidRPr="008053EA">
              <w:rPr>
                <w:rFonts w:ascii="Tahoma" w:hAnsi="Tahoma" w:cs="Tahoma"/>
                <w:color w:val="000000" w:themeColor="text1"/>
                <w:sz w:val="22"/>
                <w:szCs w:val="22"/>
              </w:rPr>
              <w:t>,</w:t>
            </w:r>
            <w:r>
              <w:rPr>
                <w:rFonts w:ascii="Tahoma" w:hAnsi="Tahoma" w:cs="Tahoma"/>
                <w:color w:val="000000" w:themeColor="text1"/>
                <w:sz w:val="22"/>
                <w:szCs w:val="22"/>
              </w:rPr>
              <w:t>9</w:t>
            </w:r>
            <w:r w:rsidR="008053EA" w:rsidRPr="008053EA">
              <w:rPr>
                <w:rFonts w:ascii="Tahoma" w:hAnsi="Tahoma" w:cs="Tahoma"/>
                <w:color w:val="000000" w:themeColor="text1"/>
                <w:sz w:val="22"/>
                <w:szCs w:val="22"/>
              </w:rPr>
              <w:t>%</w:t>
            </w:r>
          </w:p>
        </w:tc>
        <w:tc>
          <w:tcPr>
            <w:tcW w:w="2268" w:type="dxa"/>
            <w:shd w:val="clear" w:color="auto" w:fill="F2F2F2"/>
            <w:vAlign w:val="center"/>
          </w:tcPr>
          <w:p w:rsidR="008053EA" w:rsidRPr="008053EA" w:rsidRDefault="008053EA" w:rsidP="008053EA">
            <w:pPr>
              <w:jc w:val="center"/>
              <w:rPr>
                <w:rFonts w:ascii="Tahoma" w:hAnsi="Tahoma" w:cs="Tahoma"/>
                <w:color w:val="000000" w:themeColor="text1"/>
                <w:sz w:val="22"/>
                <w:szCs w:val="22"/>
              </w:rPr>
            </w:pPr>
            <w:r w:rsidRPr="008053EA">
              <w:rPr>
                <w:rFonts w:ascii="Tahoma" w:hAnsi="Tahoma" w:cs="Tahoma"/>
                <w:color w:val="000000" w:themeColor="text1"/>
                <w:sz w:val="22"/>
                <w:szCs w:val="22"/>
              </w:rPr>
              <w:t>14,3%</w:t>
            </w:r>
          </w:p>
        </w:tc>
        <w:tc>
          <w:tcPr>
            <w:tcW w:w="1559" w:type="dxa"/>
            <w:shd w:val="clear" w:color="auto" w:fill="F2F2F2"/>
            <w:vAlign w:val="center"/>
          </w:tcPr>
          <w:p w:rsidR="008053EA" w:rsidRDefault="004A17AC" w:rsidP="008053EA">
            <w:pPr>
              <w:jc w:val="center"/>
              <w:rPr>
                <w:rFonts w:ascii="Tahoma" w:hAnsi="Tahoma" w:cs="Tahoma"/>
                <w:color w:val="000000"/>
                <w:sz w:val="22"/>
                <w:szCs w:val="22"/>
              </w:rPr>
            </w:pPr>
            <w:r>
              <w:rPr>
                <w:rFonts w:ascii="Tahoma" w:hAnsi="Tahoma" w:cs="Tahoma"/>
                <w:color w:val="000000"/>
                <w:sz w:val="22"/>
                <w:szCs w:val="22"/>
              </w:rPr>
              <w:t>2,5</w:t>
            </w:r>
            <w:r w:rsidR="008053EA">
              <w:rPr>
                <w:rFonts w:ascii="Tahoma" w:hAnsi="Tahoma" w:cs="Tahoma"/>
                <w:color w:val="000000"/>
                <w:sz w:val="22"/>
                <w:szCs w:val="22"/>
              </w:rPr>
              <w:t>5π.μ.</w:t>
            </w:r>
          </w:p>
        </w:tc>
      </w:tr>
    </w:tbl>
    <w:p w:rsidR="00E11FBF" w:rsidRDefault="00E11FBF" w:rsidP="00CD74FF">
      <w:pPr>
        <w:widowControl w:val="0"/>
        <w:autoSpaceDE w:val="0"/>
        <w:autoSpaceDN w:val="0"/>
        <w:adjustRightInd w:val="0"/>
        <w:jc w:val="both"/>
        <w:rPr>
          <w:rFonts w:ascii="Tahoma" w:hAnsi="Tahoma" w:cs="Tahoma"/>
        </w:rPr>
      </w:pPr>
    </w:p>
    <w:p w:rsidR="00DA1B17" w:rsidRDefault="00DA1B17" w:rsidP="00CD74FF">
      <w:pPr>
        <w:widowControl w:val="0"/>
        <w:autoSpaceDE w:val="0"/>
        <w:autoSpaceDN w:val="0"/>
        <w:adjustRightInd w:val="0"/>
        <w:jc w:val="both"/>
        <w:rPr>
          <w:rFonts w:ascii="Tahoma" w:hAnsi="Tahoma" w:cs="Tahoma"/>
        </w:rPr>
      </w:pPr>
      <w:r w:rsidRPr="00031803">
        <w:rPr>
          <w:rFonts w:ascii="Tahoma" w:hAnsi="Tahoma" w:cs="Tahoma"/>
        </w:rPr>
        <w:t>Ο συ</w:t>
      </w:r>
      <w:r w:rsidR="00C570D6" w:rsidRPr="00031803">
        <w:rPr>
          <w:rFonts w:ascii="Tahoma" w:hAnsi="Tahoma" w:cs="Tahoma"/>
        </w:rPr>
        <w:t>νολικός τραπεζικός δανεισμός το</w:t>
      </w:r>
      <w:r w:rsidR="00B45DF6" w:rsidRPr="00031803">
        <w:rPr>
          <w:rFonts w:ascii="Tahoma" w:hAnsi="Tahoma" w:cs="Tahoma"/>
        </w:rPr>
        <w:t xml:space="preserve"> Δεκέμβριο</w:t>
      </w:r>
      <w:r w:rsidR="0008489A" w:rsidRPr="00031803">
        <w:rPr>
          <w:rFonts w:ascii="Tahoma" w:hAnsi="Tahoma" w:cs="Tahoma"/>
        </w:rPr>
        <w:t xml:space="preserve"> </w:t>
      </w:r>
      <w:r w:rsidR="00FF439F" w:rsidRPr="00031803">
        <w:rPr>
          <w:rFonts w:ascii="Tahoma" w:hAnsi="Tahoma" w:cs="Tahoma"/>
        </w:rPr>
        <w:t>του 201</w:t>
      </w:r>
      <w:r w:rsidR="00031803" w:rsidRPr="00031803">
        <w:rPr>
          <w:rFonts w:ascii="Tahoma" w:hAnsi="Tahoma" w:cs="Tahoma"/>
        </w:rPr>
        <w:t>6</w:t>
      </w:r>
      <w:r w:rsidR="00DD3F9D" w:rsidRPr="00031803">
        <w:rPr>
          <w:rFonts w:ascii="Tahoma" w:hAnsi="Tahoma" w:cs="Tahoma"/>
        </w:rPr>
        <w:t xml:space="preserve"> </w:t>
      </w:r>
      <w:r w:rsidRPr="00031803">
        <w:rPr>
          <w:rFonts w:ascii="Tahoma" w:hAnsi="Tahoma" w:cs="Tahoma"/>
        </w:rPr>
        <w:t>ανέρχεται σε €</w:t>
      </w:r>
      <w:r w:rsidR="00031803" w:rsidRPr="00031803">
        <w:rPr>
          <w:rFonts w:ascii="Tahoma" w:hAnsi="Tahoma" w:cs="Tahoma"/>
        </w:rPr>
        <w:t>255</w:t>
      </w:r>
      <w:r w:rsidR="005300A5" w:rsidRPr="00031803">
        <w:rPr>
          <w:rFonts w:ascii="Tahoma" w:hAnsi="Tahoma" w:cs="Tahoma"/>
        </w:rPr>
        <w:t xml:space="preserve"> </w:t>
      </w:r>
      <w:r w:rsidRPr="00031803">
        <w:rPr>
          <w:rFonts w:ascii="Tahoma" w:hAnsi="Tahoma" w:cs="Tahoma"/>
        </w:rPr>
        <w:t>εκ.</w:t>
      </w:r>
    </w:p>
    <w:p w:rsidR="000C508C" w:rsidRDefault="000C508C" w:rsidP="00CD74FF">
      <w:pPr>
        <w:widowControl w:val="0"/>
        <w:autoSpaceDE w:val="0"/>
        <w:autoSpaceDN w:val="0"/>
        <w:adjustRightInd w:val="0"/>
        <w:jc w:val="both"/>
        <w:rPr>
          <w:rFonts w:ascii="Tahoma" w:hAnsi="Tahoma" w:cs="Tahoma"/>
        </w:rPr>
      </w:pPr>
    </w:p>
    <w:p w:rsidR="008E70C0" w:rsidRDefault="00DA1B17" w:rsidP="00BE352F">
      <w:pPr>
        <w:jc w:val="both"/>
        <w:rPr>
          <w:rFonts w:ascii="Tahoma" w:hAnsi="Tahoma" w:cs="Tahoma"/>
          <w:b/>
          <w:bCs/>
          <w:sz w:val="32"/>
          <w:szCs w:val="32"/>
        </w:rPr>
      </w:pPr>
      <w:r w:rsidRPr="000F1CE9">
        <w:rPr>
          <w:rFonts w:ascii="Tahoma" w:hAnsi="Tahoma" w:cs="Tahoma"/>
          <w:b/>
          <w:bCs/>
          <w:sz w:val="32"/>
          <w:szCs w:val="32"/>
        </w:rPr>
        <w:lastRenderedPageBreak/>
        <w:t>Πρόσφατες Εξελίξεις</w:t>
      </w:r>
    </w:p>
    <w:p w:rsidR="00460F35" w:rsidRPr="00663845" w:rsidRDefault="00460F35" w:rsidP="00663845">
      <w:pPr>
        <w:pStyle w:val="ListParagraph"/>
        <w:shd w:val="clear" w:color="auto" w:fill="FDFDFD"/>
        <w:contextualSpacing/>
        <w:jc w:val="both"/>
        <w:rPr>
          <w:rFonts w:ascii="Tahoma" w:hAnsi="Tahoma" w:cs="Tahoma"/>
        </w:rPr>
      </w:pPr>
    </w:p>
    <w:p w:rsidR="00254601" w:rsidRPr="00AB5121" w:rsidRDefault="00254601" w:rsidP="00AB5121">
      <w:pPr>
        <w:pStyle w:val="ListParagraph"/>
        <w:numPr>
          <w:ilvl w:val="0"/>
          <w:numId w:val="14"/>
        </w:numPr>
        <w:spacing w:after="200" w:line="276" w:lineRule="auto"/>
        <w:contextualSpacing/>
        <w:jc w:val="both"/>
        <w:rPr>
          <w:rFonts w:ascii="Tahoma" w:hAnsi="Tahoma" w:cs="Tahoma"/>
        </w:rPr>
      </w:pPr>
      <w:r w:rsidRPr="00254601">
        <w:rPr>
          <w:rFonts w:ascii="Tahoma" w:hAnsi="Tahoma" w:cs="Tahoma"/>
        </w:rPr>
        <w:t xml:space="preserve">Στις 11 Οκτωβρίου η Forthnet </w:t>
      </w:r>
      <w:r w:rsidR="00AB5121">
        <w:rPr>
          <w:rFonts w:ascii="Tahoma" w:hAnsi="Tahoma" w:cs="Tahoma"/>
        </w:rPr>
        <w:t xml:space="preserve">ανακοίνωσε ότι </w:t>
      </w:r>
      <w:r w:rsidR="00C64FF2">
        <w:rPr>
          <w:rFonts w:ascii="Tahoma" w:hAnsi="Tahoma" w:cs="Tahoma"/>
        </w:rPr>
        <w:t xml:space="preserve">η έκδοση του ΜΟΔ ύψους </w:t>
      </w:r>
      <w:r w:rsidR="00BF3A93" w:rsidRPr="00F01245">
        <w:rPr>
          <w:rFonts w:ascii="Tahoma" w:hAnsi="Tahoma" w:cs="Tahoma"/>
        </w:rPr>
        <w:t>€99.087.466,50</w:t>
      </w:r>
      <w:r w:rsidR="00BF3A93">
        <w:rPr>
          <w:rFonts w:ascii="Tahoma" w:hAnsi="Tahoma" w:cs="Tahoma"/>
        </w:rPr>
        <w:t xml:space="preserve"> </w:t>
      </w:r>
      <w:r w:rsidR="00C64FF2">
        <w:rPr>
          <w:rFonts w:ascii="Tahoma" w:hAnsi="Tahoma" w:cs="Tahoma"/>
        </w:rPr>
        <w:t xml:space="preserve">καλύφθηκε κατά </w:t>
      </w:r>
      <w:r w:rsidR="00C64FF2" w:rsidRPr="00AB5121">
        <w:rPr>
          <w:rFonts w:ascii="Tahoma" w:hAnsi="Tahoma" w:cs="Tahoma"/>
        </w:rPr>
        <w:t xml:space="preserve">70,65% </w:t>
      </w:r>
      <w:r w:rsidR="00C64FF2">
        <w:rPr>
          <w:rFonts w:ascii="Tahoma" w:hAnsi="Tahoma" w:cs="Tahoma"/>
        </w:rPr>
        <w:t xml:space="preserve"> και </w:t>
      </w:r>
      <w:r w:rsidR="00AB5121">
        <w:rPr>
          <w:rFonts w:ascii="Tahoma" w:hAnsi="Tahoma" w:cs="Tahoma"/>
        </w:rPr>
        <w:t xml:space="preserve">ως εκ τούτου </w:t>
      </w:r>
      <w:r w:rsidR="00572C3C">
        <w:rPr>
          <w:rFonts w:ascii="Tahoma" w:hAnsi="Tahoma" w:cs="Tahoma"/>
        </w:rPr>
        <w:t>ικανοποιήθηκ</w:t>
      </w:r>
      <w:r w:rsidR="00BD5BD3">
        <w:rPr>
          <w:rFonts w:ascii="Tahoma" w:hAnsi="Tahoma" w:cs="Tahoma"/>
        </w:rPr>
        <w:t xml:space="preserve">ε η βασική </w:t>
      </w:r>
      <w:r w:rsidR="00572C3C">
        <w:rPr>
          <w:rFonts w:ascii="Tahoma" w:hAnsi="Tahoma" w:cs="Tahoma"/>
        </w:rPr>
        <w:t>προϋπ</w:t>
      </w:r>
      <w:r w:rsidR="00BD5BD3">
        <w:rPr>
          <w:rFonts w:ascii="Tahoma" w:hAnsi="Tahoma" w:cs="Tahoma"/>
        </w:rPr>
        <w:t>ό</w:t>
      </w:r>
      <w:r w:rsidR="00572C3C">
        <w:rPr>
          <w:rFonts w:ascii="Tahoma" w:hAnsi="Tahoma" w:cs="Tahoma"/>
        </w:rPr>
        <w:t>θ</w:t>
      </w:r>
      <w:r w:rsidR="00BD5BD3">
        <w:rPr>
          <w:rFonts w:ascii="Tahoma" w:hAnsi="Tahoma" w:cs="Tahoma"/>
        </w:rPr>
        <w:t>ε</w:t>
      </w:r>
      <w:r w:rsidR="00572C3C">
        <w:rPr>
          <w:rFonts w:ascii="Tahoma" w:hAnsi="Tahoma" w:cs="Tahoma"/>
        </w:rPr>
        <w:t>σ</w:t>
      </w:r>
      <w:r w:rsidR="00BD5BD3">
        <w:rPr>
          <w:rFonts w:ascii="Tahoma" w:hAnsi="Tahoma" w:cs="Tahoma"/>
        </w:rPr>
        <w:t>η</w:t>
      </w:r>
      <w:r w:rsidR="00AB5121">
        <w:rPr>
          <w:rFonts w:ascii="Tahoma" w:hAnsi="Tahoma" w:cs="Tahoma"/>
        </w:rPr>
        <w:t xml:space="preserve"> </w:t>
      </w:r>
      <w:r w:rsidR="00572C3C">
        <w:rPr>
          <w:rFonts w:ascii="Tahoma" w:hAnsi="Tahoma" w:cs="Tahoma"/>
        </w:rPr>
        <w:t>για τ</w:t>
      </w:r>
      <w:r w:rsidR="00AB5121">
        <w:rPr>
          <w:rFonts w:ascii="Tahoma" w:hAnsi="Tahoma" w:cs="Tahoma"/>
        </w:rPr>
        <w:t>η</w:t>
      </w:r>
      <w:r w:rsidR="00572C3C">
        <w:rPr>
          <w:rFonts w:ascii="Tahoma" w:hAnsi="Tahoma" w:cs="Tahoma"/>
        </w:rPr>
        <w:t>ν ολοκλήρωση της</w:t>
      </w:r>
      <w:r w:rsidR="00AB5121">
        <w:rPr>
          <w:rFonts w:ascii="Tahoma" w:hAnsi="Tahoma" w:cs="Tahoma"/>
        </w:rPr>
        <w:t xml:space="preserve"> αναχρηματοδότηση</w:t>
      </w:r>
      <w:r w:rsidR="00572C3C">
        <w:rPr>
          <w:rFonts w:ascii="Tahoma" w:hAnsi="Tahoma" w:cs="Tahoma"/>
        </w:rPr>
        <w:t>ς</w:t>
      </w:r>
      <w:r w:rsidR="00AB5121">
        <w:rPr>
          <w:rFonts w:ascii="Tahoma" w:hAnsi="Tahoma" w:cs="Tahoma"/>
        </w:rPr>
        <w:t xml:space="preserve"> των δανειακών της υποχρεώσεων</w:t>
      </w:r>
      <w:r w:rsidR="00572C3C">
        <w:rPr>
          <w:rFonts w:ascii="Tahoma" w:hAnsi="Tahoma" w:cs="Tahoma"/>
        </w:rPr>
        <w:t>.</w:t>
      </w:r>
      <w:r w:rsidR="00AB5121">
        <w:rPr>
          <w:rFonts w:ascii="Tahoma" w:hAnsi="Tahoma" w:cs="Tahoma"/>
        </w:rPr>
        <w:t xml:space="preserve"> </w:t>
      </w:r>
    </w:p>
    <w:p w:rsidR="00663845" w:rsidRPr="00AB5121" w:rsidRDefault="00663845" w:rsidP="00663845">
      <w:pPr>
        <w:pStyle w:val="ListParagraph"/>
        <w:numPr>
          <w:ilvl w:val="0"/>
          <w:numId w:val="14"/>
        </w:numPr>
        <w:spacing w:after="200" w:line="276" w:lineRule="auto"/>
        <w:contextualSpacing/>
        <w:jc w:val="both"/>
        <w:rPr>
          <w:rFonts w:ascii="Tahoma" w:hAnsi="Tahoma" w:cs="Tahoma"/>
        </w:rPr>
      </w:pPr>
      <w:r w:rsidRPr="00AB5121">
        <w:rPr>
          <w:rFonts w:ascii="Tahoma" w:hAnsi="Tahoma" w:cs="Tahoma"/>
        </w:rPr>
        <w:t xml:space="preserve">Η </w:t>
      </w:r>
      <w:r w:rsidR="000E23EB">
        <w:rPr>
          <w:rFonts w:ascii="Tahoma" w:hAnsi="Tahoma" w:cs="Tahoma"/>
          <w:lang w:val="en-US"/>
        </w:rPr>
        <w:t>Forthnet</w:t>
      </w:r>
      <w:r w:rsidRPr="00AB5121">
        <w:rPr>
          <w:rFonts w:ascii="Tahoma" w:hAnsi="Tahoma" w:cs="Tahoma"/>
        </w:rPr>
        <w:t xml:space="preserve"> </w:t>
      </w:r>
      <w:r w:rsidR="00BF3A93">
        <w:rPr>
          <w:rFonts w:ascii="Tahoma" w:hAnsi="Tahoma" w:cs="Tahoma"/>
        </w:rPr>
        <w:t xml:space="preserve">εξασφάλισε την αποκλειστική μετάδοση της κορυφαίας ευρωπαϊκής διασυλλογικής διοργάνωσης στο χώρο του μπάσκετ για την τριετία 2017-2020, επεκτείνοντας έτσι τη μακροχρόνια συνεργασία της με την </w:t>
      </w:r>
      <w:r w:rsidR="00BF3A93">
        <w:rPr>
          <w:rFonts w:ascii="Tahoma" w:hAnsi="Tahoma" w:cs="Tahoma"/>
          <w:lang w:val="en-US"/>
        </w:rPr>
        <w:t>EuroLeague</w:t>
      </w:r>
      <w:r w:rsidR="00BF3A93" w:rsidRPr="00BF3A93">
        <w:rPr>
          <w:rFonts w:ascii="Tahoma" w:hAnsi="Tahoma" w:cs="Tahoma"/>
        </w:rPr>
        <w:t>.</w:t>
      </w:r>
      <w:r w:rsidR="00BF3A93">
        <w:rPr>
          <w:rFonts w:ascii="Tahoma" w:hAnsi="Tahoma" w:cs="Tahoma"/>
        </w:rPr>
        <w:t xml:space="preserve"> </w:t>
      </w:r>
      <w:r w:rsidR="00731275">
        <w:rPr>
          <w:rFonts w:ascii="Tahoma" w:hAnsi="Tahoma" w:cs="Tahoma"/>
          <w:lang w:val="en-US"/>
        </w:rPr>
        <w:t>To</w:t>
      </w:r>
      <w:r w:rsidR="00731275" w:rsidRPr="00731275">
        <w:rPr>
          <w:rFonts w:ascii="Tahoma" w:hAnsi="Tahoma" w:cs="Tahoma"/>
        </w:rPr>
        <w:t xml:space="preserve"> </w:t>
      </w:r>
      <w:r w:rsidR="009821A6" w:rsidRPr="00AB5121">
        <w:rPr>
          <w:rFonts w:ascii="Tahoma" w:hAnsi="Tahoma" w:cs="Tahoma"/>
        </w:rPr>
        <w:t xml:space="preserve">νέο </w:t>
      </w:r>
      <w:r w:rsidR="009821A6">
        <w:rPr>
          <w:rFonts w:ascii="Tahoma" w:hAnsi="Tahoma" w:cs="Tahoma"/>
        </w:rPr>
        <w:t>σύστημα διεξαγωγής και η εξασφαλισμένη συμμετοχή των δύο κορυφαίων ελληνικών ομάδων</w:t>
      </w:r>
      <w:r w:rsidR="00731275" w:rsidRPr="00731275">
        <w:rPr>
          <w:rFonts w:ascii="Tahoma" w:hAnsi="Tahoma" w:cs="Tahoma"/>
        </w:rPr>
        <w:t>,</w:t>
      </w:r>
      <w:r w:rsidR="009821A6">
        <w:rPr>
          <w:rFonts w:ascii="Tahoma" w:hAnsi="Tahoma" w:cs="Tahoma"/>
        </w:rPr>
        <w:t xml:space="preserve"> εγγυώνται το αυξημένο ενδιαφέρον του φίλαθλου κοινού που ήδη καταγράφεται στις μετρήσεις τηλεθέασης. </w:t>
      </w:r>
    </w:p>
    <w:p w:rsidR="00663845" w:rsidRDefault="00663845" w:rsidP="00663845">
      <w:pPr>
        <w:pStyle w:val="ListParagraph"/>
        <w:numPr>
          <w:ilvl w:val="0"/>
          <w:numId w:val="14"/>
        </w:numPr>
        <w:spacing w:after="200" w:line="276" w:lineRule="auto"/>
        <w:contextualSpacing/>
        <w:jc w:val="both"/>
        <w:rPr>
          <w:rFonts w:ascii="Tahoma" w:hAnsi="Tahoma" w:cs="Tahoma"/>
        </w:rPr>
      </w:pPr>
      <w:r w:rsidRPr="00663845">
        <w:rPr>
          <w:rFonts w:ascii="Tahoma" w:hAnsi="Tahoma" w:cs="Tahoma"/>
        </w:rPr>
        <w:t xml:space="preserve">Παράλληλα, η </w:t>
      </w:r>
      <w:r w:rsidR="000E23EB">
        <w:rPr>
          <w:rFonts w:ascii="Tahoma" w:hAnsi="Tahoma" w:cs="Tahoma"/>
          <w:lang w:val="en-US"/>
        </w:rPr>
        <w:t>Forthnet</w:t>
      </w:r>
      <w:r w:rsidRPr="00663845">
        <w:rPr>
          <w:rFonts w:ascii="Tahoma" w:hAnsi="Tahoma" w:cs="Tahoma"/>
        </w:rPr>
        <w:t xml:space="preserve"> </w:t>
      </w:r>
      <w:r w:rsidR="004F259A">
        <w:rPr>
          <w:rFonts w:ascii="Tahoma" w:hAnsi="Tahoma" w:cs="Tahoma"/>
        </w:rPr>
        <w:t>απέκτησε</w:t>
      </w:r>
      <w:r w:rsidRPr="00663845">
        <w:rPr>
          <w:rFonts w:ascii="Tahoma" w:hAnsi="Tahoma" w:cs="Tahoma"/>
        </w:rPr>
        <w:t xml:space="preserve"> για την τριετία 2016-2019 τη νέα μεγάλη διοργάνωση στο χώρο του μπάσκετ, το Basketball Champions League με τη συμμετοχή </w:t>
      </w:r>
      <w:r w:rsidR="00AB5121">
        <w:rPr>
          <w:rFonts w:ascii="Tahoma" w:hAnsi="Tahoma" w:cs="Tahoma"/>
        </w:rPr>
        <w:t>ελληνικών ομάδων.</w:t>
      </w:r>
    </w:p>
    <w:p w:rsidR="000E23EB" w:rsidRDefault="00663845" w:rsidP="000E23EB">
      <w:pPr>
        <w:pStyle w:val="ListParagraph"/>
        <w:numPr>
          <w:ilvl w:val="0"/>
          <w:numId w:val="14"/>
        </w:numPr>
        <w:spacing w:after="200" w:line="276" w:lineRule="auto"/>
        <w:contextualSpacing/>
        <w:jc w:val="both"/>
        <w:rPr>
          <w:rFonts w:ascii="Tahoma" w:hAnsi="Tahoma" w:cs="Tahoma"/>
        </w:rPr>
      </w:pPr>
      <w:r w:rsidRPr="00663845">
        <w:rPr>
          <w:rFonts w:ascii="Tahoma" w:hAnsi="Tahoma" w:cs="Tahoma"/>
        </w:rPr>
        <w:t xml:space="preserve">Από τις 31 Οκτωβρίου το μπουκέτο </w:t>
      </w:r>
      <w:r w:rsidR="000E23EB">
        <w:rPr>
          <w:rFonts w:ascii="Tahoma" w:hAnsi="Tahoma" w:cs="Tahoma"/>
        </w:rPr>
        <w:t>της συνδρομητικής τηλεόρασης</w:t>
      </w:r>
      <w:r w:rsidRPr="00663845">
        <w:rPr>
          <w:rFonts w:ascii="Tahoma" w:hAnsi="Tahoma" w:cs="Tahoma"/>
        </w:rPr>
        <w:t xml:space="preserve"> </w:t>
      </w:r>
      <w:r w:rsidR="000E23EB">
        <w:rPr>
          <w:rFonts w:ascii="Tahoma" w:hAnsi="Tahoma" w:cs="Tahoma"/>
        </w:rPr>
        <w:t xml:space="preserve">ενισχύθηκε </w:t>
      </w:r>
      <w:r w:rsidRPr="00663845">
        <w:rPr>
          <w:rFonts w:ascii="Tahoma" w:hAnsi="Tahoma" w:cs="Tahoma"/>
        </w:rPr>
        <w:t xml:space="preserve">με το </w:t>
      </w:r>
      <w:r w:rsidRPr="00663845">
        <w:rPr>
          <w:rFonts w:ascii="Tahoma" w:hAnsi="Tahoma" w:cs="Tahoma"/>
          <w:lang w:val="en-US"/>
        </w:rPr>
        <w:t>NovasportsstoriesHD</w:t>
      </w:r>
      <w:r w:rsidRPr="00663845">
        <w:rPr>
          <w:rFonts w:ascii="Tahoma" w:hAnsi="Tahoma" w:cs="Tahoma"/>
        </w:rPr>
        <w:t xml:space="preserve"> το νέο αθλητικό κανάλι που είναι αφιερωμένο στις ομάδες που άφησαν εποχή, στους αθλητές που ξεπέρασαν τον εαυτό τους και στις στιγμές που έγραψαν ιστορία.</w:t>
      </w:r>
    </w:p>
    <w:p w:rsidR="000956B8" w:rsidRDefault="00663845" w:rsidP="000E23EB">
      <w:pPr>
        <w:pStyle w:val="ListParagraph"/>
        <w:numPr>
          <w:ilvl w:val="0"/>
          <w:numId w:val="14"/>
        </w:numPr>
        <w:spacing w:after="200" w:line="276" w:lineRule="auto"/>
        <w:contextualSpacing/>
        <w:jc w:val="both"/>
        <w:rPr>
          <w:rFonts w:ascii="Tahoma" w:hAnsi="Tahoma" w:cs="Tahoma"/>
        </w:rPr>
      </w:pPr>
      <w:r w:rsidRPr="000E23EB">
        <w:rPr>
          <w:rFonts w:ascii="Tahoma" w:hAnsi="Tahoma" w:cs="Tahoma"/>
        </w:rPr>
        <w:t xml:space="preserve">Η </w:t>
      </w:r>
      <w:r w:rsidR="000E23EB" w:rsidRPr="000E23EB">
        <w:rPr>
          <w:rFonts w:ascii="Tahoma" w:hAnsi="Tahoma" w:cs="Tahoma"/>
          <w:lang w:val="en-US"/>
        </w:rPr>
        <w:t>Forthnet</w:t>
      </w:r>
      <w:r w:rsidRPr="000E23EB">
        <w:rPr>
          <w:rFonts w:ascii="Tahoma" w:hAnsi="Tahoma" w:cs="Tahoma"/>
        </w:rPr>
        <w:t xml:space="preserve"> προχώρησε σε ανανέωση της μακρόχρονης συνεργασίας της με την Warner Bros., ένα από τα μεγαλύτερα studios του Hollywood που κάθε χρόνο παράγει ταινίες και σειρές που ξεχωρίζουν στο Αμερικάνικο και Ελληνικό Box Office. Με την συμφωνία αυτή, η Warner Bros. θα συνεχίσει να δίνει αποκλειστικά για πρώτη προβολή </w:t>
      </w:r>
      <w:r w:rsidR="000E23EB" w:rsidRPr="000E23EB">
        <w:rPr>
          <w:rFonts w:ascii="Tahoma" w:hAnsi="Tahoma" w:cs="Tahoma"/>
        </w:rPr>
        <w:t xml:space="preserve">στα κανάλια </w:t>
      </w:r>
      <w:r w:rsidR="000E23EB" w:rsidRPr="000E23EB">
        <w:rPr>
          <w:rFonts w:ascii="Tahoma" w:hAnsi="Tahoma" w:cs="Tahoma"/>
          <w:lang w:val="en-US"/>
        </w:rPr>
        <w:t>Novacinema</w:t>
      </w:r>
      <w:r w:rsidRPr="000E23EB">
        <w:rPr>
          <w:rFonts w:ascii="Tahoma" w:hAnsi="Tahoma" w:cs="Tahoma"/>
        </w:rPr>
        <w:t>, όλες τις ταινίες και το πρόγραμμά της.</w:t>
      </w:r>
    </w:p>
    <w:p w:rsidR="007E354D" w:rsidRDefault="007E354D" w:rsidP="007E354D">
      <w:pPr>
        <w:pStyle w:val="ListParagraph"/>
        <w:numPr>
          <w:ilvl w:val="0"/>
          <w:numId w:val="14"/>
        </w:numPr>
        <w:spacing w:after="200" w:line="276" w:lineRule="auto"/>
        <w:contextualSpacing/>
        <w:jc w:val="both"/>
        <w:rPr>
          <w:rFonts w:ascii="Tahoma" w:hAnsi="Tahoma" w:cs="Tahoma"/>
        </w:rPr>
      </w:pPr>
      <w:r w:rsidRPr="00AB5121">
        <w:rPr>
          <w:rFonts w:ascii="Tahoma" w:hAnsi="Tahoma" w:cs="Tahoma"/>
          <w:lang w:val="en-US"/>
        </w:rPr>
        <w:t>H</w:t>
      </w:r>
      <w:r w:rsidRPr="00AB5121">
        <w:rPr>
          <w:rFonts w:ascii="Tahoma" w:hAnsi="Tahoma" w:cs="Tahoma"/>
        </w:rPr>
        <w:t xml:space="preserve"> </w:t>
      </w:r>
      <w:r w:rsidRPr="00AB5121">
        <w:rPr>
          <w:rFonts w:ascii="Tahoma" w:hAnsi="Tahoma" w:cs="Tahoma"/>
          <w:lang w:val="en-US"/>
        </w:rPr>
        <w:t>Forthnet</w:t>
      </w:r>
      <w:r w:rsidRPr="00AB5121">
        <w:rPr>
          <w:rFonts w:ascii="Tahoma" w:hAnsi="Tahoma" w:cs="Tahoma"/>
        </w:rPr>
        <w:t xml:space="preserve"> αναδείχτηκε υπερθεματιστής στη δημοπρασία της ΕΕΤΤ για την ανάδειξη παρόχου καθολικής υπηρεσίας για υπηρεσίες σταθερής τηλεφωνίας. </w:t>
      </w:r>
      <w:r w:rsidRPr="00C64FF2">
        <w:rPr>
          <w:rFonts w:ascii="Tahoma" w:hAnsi="Tahoma" w:cs="Tahoma"/>
        </w:rPr>
        <w:t>Η λύση μέσω satellite broadband που πρότεινε η Forthnet</w:t>
      </w:r>
      <w:r>
        <w:rPr>
          <w:rFonts w:ascii="Tahoma" w:hAnsi="Tahoma" w:cs="Tahoma"/>
        </w:rPr>
        <w:t xml:space="preserve"> </w:t>
      </w:r>
      <w:r w:rsidRPr="00C64FF2">
        <w:rPr>
          <w:rFonts w:ascii="Tahoma" w:hAnsi="Tahoma" w:cs="Tahoma"/>
        </w:rPr>
        <w:t>ήταν πολύ ανταγωνιστικότερη από τις π</w:t>
      </w:r>
      <w:r>
        <w:rPr>
          <w:rFonts w:ascii="Tahoma" w:hAnsi="Tahoma" w:cs="Tahoma"/>
        </w:rPr>
        <w:t xml:space="preserve">ροτάσεις των υπολοίπων παρόχων </w:t>
      </w:r>
      <w:r w:rsidRPr="00AB5121">
        <w:rPr>
          <w:rFonts w:ascii="Tahoma" w:hAnsi="Tahoma" w:cs="Tahoma"/>
        </w:rPr>
        <w:t>απ</w:t>
      </w:r>
      <w:r>
        <w:rPr>
          <w:rFonts w:ascii="Tahoma" w:hAnsi="Tahoma" w:cs="Tahoma"/>
        </w:rPr>
        <w:t>ο</w:t>
      </w:r>
      <w:r w:rsidRPr="00AB5121">
        <w:rPr>
          <w:rFonts w:ascii="Tahoma" w:hAnsi="Tahoma" w:cs="Tahoma"/>
        </w:rPr>
        <w:t>δει</w:t>
      </w:r>
      <w:r>
        <w:rPr>
          <w:rFonts w:ascii="Tahoma" w:hAnsi="Tahoma" w:cs="Tahoma"/>
        </w:rPr>
        <w:t>κνύοντας</w:t>
      </w:r>
      <w:r w:rsidRPr="00AB5121">
        <w:rPr>
          <w:rFonts w:ascii="Tahoma" w:hAnsi="Tahoma" w:cs="Tahoma"/>
        </w:rPr>
        <w:t xml:space="preserve"> ότι οι διαχρονικά καινοτομικές υπηρεσίες, μπορούν να δίνουν ανταγωνιστικές λύσεις και να λειτουργούν προς όφελος </w:t>
      </w:r>
      <w:r>
        <w:rPr>
          <w:rFonts w:ascii="Tahoma" w:hAnsi="Tahoma" w:cs="Tahoma"/>
        </w:rPr>
        <w:t xml:space="preserve">τόσο </w:t>
      </w:r>
      <w:r w:rsidRPr="00AB5121">
        <w:rPr>
          <w:rFonts w:ascii="Tahoma" w:hAnsi="Tahoma" w:cs="Tahoma"/>
        </w:rPr>
        <w:t>του συνόλου της αγοράς</w:t>
      </w:r>
      <w:r>
        <w:rPr>
          <w:rFonts w:ascii="Tahoma" w:hAnsi="Tahoma" w:cs="Tahoma"/>
        </w:rPr>
        <w:t>, όσο</w:t>
      </w:r>
      <w:r w:rsidRPr="00AB5121">
        <w:rPr>
          <w:rFonts w:ascii="Tahoma" w:hAnsi="Tahoma" w:cs="Tahoma"/>
        </w:rPr>
        <w:t xml:space="preserve"> και του καταναλωτικού κοινού.     </w:t>
      </w:r>
    </w:p>
    <w:p w:rsidR="004A17AC" w:rsidRDefault="004A17AC" w:rsidP="008273A8">
      <w:pPr>
        <w:jc w:val="both"/>
        <w:rPr>
          <w:rFonts w:ascii="Tahoma" w:hAnsi="Tahoma" w:cs="Tahoma"/>
          <w:color w:val="000000"/>
          <w:sz w:val="22"/>
          <w:szCs w:val="22"/>
          <w:highlight w:val="yellow"/>
          <w:lang w:eastAsia="en-US"/>
        </w:rPr>
      </w:pPr>
    </w:p>
    <w:p w:rsidR="004A17AC" w:rsidRDefault="004A17AC" w:rsidP="008273A8">
      <w:pPr>
        <w:jc w:val="both"/>
        <w:rPr>
          <w:rFonts w:ascii="Tahoma" w:hAnsi="Tahoma" w:cs="Tahoma"/>
          <w:color w:val="000000"/>
          <w:sz w:val="22"/>
          <w:szCs w:val="22"/>
          <w:highlight w:val="yellow"/>
          <w:lang w:eastAsia="en-US"/>
        </w:rPr>
      </w:pPr>
    </w:p>
    <w:p w:rsidR="004A17AC" w:rsidRDefault="004A17AC" w:rsidP="008273A8">
      <w:pPr>
        <w:jc w:val="both"/>
        <w:rPr>
          <w:rFonts w:ascii="Tahoma" w:hAnsi="Tahoma" w:cs="Tahoma"/>
          <w:color w:val="000000"/>
          <w:sz w:val="22"/>
          <w:szCs w:val="22"/>
          <w:highlight w:val="yellow"/>
          <w:lang w:eastAsia="en-US"/>
        </w:rPr>
      </w:pPr>
    </w:p>
    <w:p w:rsidR="004A17AC" w:rsidRDefault="004A17AC" w:rsidP="008273A8">
      <w:pPr>
        <w:jc w:val="both"/>
        <w:rPr>
          <w:rFonts w:ascii="Tahoma" w:hAnsi="Tahoma" w:cs="Tahoma"/>
          <w:color w:val="000000"/>
          <w:sz w:val="22"/>
          <w:szCs w:val="22"/>
          <w:highlight w:val="yellow"/>
          <w:lang w:eastAsia="en-US"/>
        </w:rPr>
      </w:pPr>
    </w:p>
    <w:p w:rsidR="00DA1B17" w:rsidRPr="00530753" w:rsidRDefault="003F7633" w:rsidP="008273A8">
      <w:pPr>
        <w:pBdr>
          <w:top w:val="single" w:sz="4" w:space="1" w:color="595959"/>
        </w:pBdr>
        <w:jc w:val="both"/>
        <w:rPr>
          <w:rFonts w:ascii="Tahoma" w:hAnsi="Tahoma" w:cs="Tahoma"/>
          <w:i/>
          <w:iCs/>
          <w:color w:val="000000"/>
          <w:lang w:eastAsia="en-US"/>
        </w:rPr>
      </w:pPr>
      <w:r w:rsidRPr="00530753">
        <w:rPr>
          <w:rFonts w:ascii="Tahoma" w:hAnsi="Tahoma" w:cs="Tahoma"/>
          <w:i/>
          <w:iCs/>
          <w:color w:val="000000"/>
          <w:lang w:eastAsia="en-US"/>
        </w:rPr>
        <w:t>Για περισσότερες πληροφορίες επικοινωνήστε:</w:t>
      </w:r>
    </w:p>
    <w:p w:rsidR="004E1A7D" w:rsidRPr="00530753" w:rsidRDefault="004E1A7D" w:rsidP="001669C3">
      <w:pPr>
        <w:pBdr>
          <w:top w:val="single" w:sz="4" w:space="1" w:color="595959"/>
        </w:pBdr>
        <w:jc w:val="both"/>
        <w:rPr>
          <w:rFonts w:ascii="Tahoma" w:hAnsi="Tahoma" w:cs="Tahoma"/>
          <w:i/>
          <w:iCs/>
          <w:color w:val="000000"/>
          <w:lang w:eastAsia="en-US"/>
        </w:rPr>
      </w:pPr>
    </w:p>
    <w:p w:rsidR="001669C3" w:rsidRPr="000D3C8A" w:rsidRDefault="003F7633" w:rsidP="001669C3">
      <w:pPr>
        <w:pBdr>
          <w:top w:val="single" w:sz="4" w:space="1" w:color="595959"/>
        </w:pBdr>
        <w:jc w:val="both"/>
        <w:rPr>
          <w:rFonts w:ascii="Tahoma" w:hAnsi="Tahoma" w:cs="Tahoma"/>
          <w:i/>
          <w:iCs/>
          <w:color w:val="1D1D1B"/>
        </w:rPr>
      </w:pPr>
      <w:r w:rsidRPr="00530753">
        <w:rPr>
          <w:rFonts w:ascii="Tahoma" w:hAnsi="Tahoma" w:cs="Tahoma"/>
          <w:i/>
          <w:iCs/>
          <w:color w:val="000000"/>
          <w:lang w:eastAsia="en-US"/>
        </w:rPr>
        <w:t>Τηλ</w:t>
      </w:r>
      <w:r w:rsidRPr="000D3C8A">
        <w:rPr>
          <w:rFonts w:ascii="Tahoma" w:hAnsi="Tahoma" w:cs="Tahoma"/>
          <w:i/>
          <w:iCs/>
          <w:color w:val="000000"/>
          <w:lang w:eastAsia="en-US"/>
        </w:rPr>
        <w:t xml:space="preserve">. </w:t>
      </w:r>
      <w:r w:rsidRPr="000D3C8A">
        <w:rPr>
          <w:rFonts w:ascii="Tahoma" w:hAnsi="Tahoma" w:cs="Tahoma"/>
          <w:i/>
          <w:iCs/>
          <w:color w:val="1D1D1B"/>
        </w:rPr>
        <w:t xml:space="preserve">211 9552868, </w:t>
      </w:r>
      <w:r w:rsidRPr="00530753">
        <w:rPr>
          <w:rFonts w:ascii="Tahoma" w:hAnsi="Tahoma" w:cs="Tahoma"/>
          <w:i/>
          <w:iCs/>
          <w:color w:val="1D1D1B"/>
        </w:rPr>
        <w:t>Φαξ</w:t>
      </w:r>
      <w:r w:rsidRPr="000D3C8A">
        <w:rPr>
          <w:rFonts w:ascii="Tahoma" w:hAnsi="Tahoma" w:cs="Tahoma"/>
          <w:i/>
          <w:iCs/>
          <w:color w:val="1D1D1B"/>
        </w:rPr>
        <w:t xml:space="preserve"> 211 9559055, </w:t>
      </w:r>
      <w:r w:rsidRPr="00530753">
        <w:rPr>
          <w:rFonts w:ascii="Tahoma" w:hAnsi="Tahoma" w:cs="Tahoma"/>
          <w:i/>
          <w:iCs/>
          <w:color w:val="1D1D1B"/>
          <w:lang w:val="en-US"/>
        </w:rPr>
        <w:t>email</w:t>
      </w:r>
      <w:r w:rsidRPr="000D3C8A">
        <w:rPr>
          <w:rFonts w:ascii="Tahoma" w:hAnsi="Tahoma" w:cs="Tahoma"/>
          <w:i/>
          <w:iCs/>
          <w:color w:val="1D1D1B"/>
        </w:rPr>
        <w:t xml:space="preserve">: </w:t>
      </w:r>
      <w:hyperlink r:id="rId8" w:history="1">
        <w:r w:rsidRPr="00530753">
          <w:rPr>
            <w:rFonts w:ascii="Tahoma" w:hAnsi="Tahoma" w:cs="Tahoma"/>
            <w:b/>
            <w:bCs/>
            <w:i/>
            <w:iCs/>
            <w:color w:val="1D1D1B"/>
            <w:lang w:val="en-US"/>
          </w:rPr>
          <w:t>ir</w:t>
        </w:r>
        <w:r w:rsidRPr="000D3C8A">
          <w:rPr>
            <w:rFonts w:ascii="Tahoma" w:hAnsi="Tahoma" w:cs="Tahoma"/>
            <w:b/>
            <w:bCs/>
            <w:i/>
            <w:iCs/>
            <w:color w:val="1D1D1B"/>
          </w:rPr>
          <w:t>@</w:t>
        </w:r>
        <w:r w:rsidRPr="00530753">
          <w:rPr>
            <w:rFonts w:ascii="Tahoma" w:hAnsi="Tahoma" w:cs="Tahoma"/>
            <w:b/>
            <w:bCs/>
            <w:i/>
            <w:iCs/>
            <w:color w:val="1D1D1B"/>
            <w:lang w:val="en-US"/>
          </w:rPr>
          <w:t>forthnet</w:t>
        </w:r>
        <w:r w:rsidRPr="000D3C8A">
          <w:rPr>
            <w:rFonts w:ascii="Tahoma" w:hAnsi="Tahoma" w:cs="Tahoma"/>
            <w:b/>
            <w:bCs/>
            <w:i/>
            <w:iCs/>
            <w:color w:val="1D1D1B"/>
          </w:rPr>
          <w:t>.</w:t>
        </w:r>
        <w:r w:rsidRPr="00530753">
          <w:rPr>
            <w:rFonts w:ascii="Tahoma" w:hAnsi="Tahoma" w:cs="Tahoma"/>
            <w:b/>
            <w:bCs/>
            <w:i/>
            <w:iCs/>
            <w:color w:val="1D1D1B"/>
            <w:lang w:val="en-US"/>
          </w:rPr>
          <w:t>gr</w:t>
        </w:r>
      </w:hyperlink>
    </w:p>
    <w:p w:rsidR="00DA1B17" w:rsidRPr="00530753" w:rsidRDefault="003F7633" w:rsidP="008273A8">
      <w:pPr>
        <w:pBdr>
          <w:top w:val="single" w:sz="4" w:space="1" w:color="595959"/>
        </w:pBdr>
        <w:jc w:val="both"/>
        <w:rPr>
          <w:rFonts w:ascii="Tahoma" w:hAnsi="Tahoma" w:cs="Tahoma"/>
          <w:b/>
          <w:bCs/>
          <w:i/>
          <w:iCs/>
          <w:color w:val="1D1D1B"/>
          <w:lang w:val="en-US"/>
        </w:rPr>
      </w:pPr>
      <w:r w:rsidRPr="00530753">
        <w:rPr>
          <w:rFonts w:ascii="Tahoma" w:hAnsi="Tahoma" w:cs="Tahoma"/>
          <w:i/>
          <w:iCs/>
          <w:color w:val="1D1D1B"/>
        </w:rPr>
        <w:t>Τηλ</w:t>
      </w:r>
      <w:r w:rsidRPr="00530753">
        <w:rPr>
          <w:rFonts w:ascii="Tahoma" w:hAnsi="Tahoma" w:cs="Tahoma"/>
          <w:i/>
          <w:iCs/>
          <w:color w:val="1D1D1B"/>
          <w:lang w:val="en-US"/>
        </w:rPr>
        <w:t xml:space="preserve">. 211 9559104, </w:t>
      </w:r>
      <w:r w:rsidRPr="00530753">
        <w:rPr>
          <w:rFonts w:ascii="Tahoma" w:hAnsi="Tahoma" w:cs="Tahoma"/>
          <w:i/>
          <w:iCs/>
          <w:color w:val="1D1D1B"/>
        </w:rPr>
        <w:t>Φαξ</w:t>
      </w:r>
      <w:r w:rsidRPr="00530753">
        <w:rPr>
          <w:rFonts w:ascii="Tahoma" w:hAnsi="Tahoma" w:cs="Tahoma"/>
          <w:i/>
          <w:iCs/>
          <w:color w:val="1D1D1B"/>
          <w:lang w:val="en-US"/>
        </w:rPr>
        <w:t xml:space="preserve"> 210 6658680, email: </w:t>
      </w:r>
      <w:r w:rsidRPr="00530753">
        <w:rPr>
          <w:rFonts w:ascii="Tahoma" w:hAnsi="Tahoma" w:cs="Tahoma"/>
          <w:b/>
          <w:bCs/>
          <w:i/>
          <w:iCs/>
          <w:color w:val="1D1D1B"/>
          <w:lang w:val="en-US"/>
        </w:rPr>
        <w:t xml:space="preserve">pressoffice@forthnet.gr </w:t>
      </w:r>
    </w:p>
    <w:p w:rsidR="004A17AC" w:rsidRPr="004B04F6" w:rsidRDefault="004A17AC" w:rsidP="008273A8">
      <w:pPr>
        <w:jc w:val="both"/>
        <w:rPr>
          <w:rFonts w:ascii="Tahoma" w:hAnsi="Tahoma" w:cs="Tahoma"/>
          <w:color w:val="1D1D1B"/>
          <w:sz w:val="22"/>
          <w:szCs w:val="16"/>
          <w:lang w:val="en-US"/>
        </w:rPr>
      </w:pPr>
    </w:p>
    <w:p w:rsidR="00DA1B17" w:rsidRPr="00530753" w:rsidRDefault="003F7633" w:rsidP="008273A8">
      <w:pPr>
        <w:jc w:val="both"/>
        <w:rPr>
          <w:rFonts w:ascii="Tahoma" w:hAnsi="Tahoma" w:cs="Tahoma"/>
          <w:b/>
          <w:bCs/>
          <w:smallCaps/>
          <w:color w:val="1D1D1B"/>
          <w:sz w:val="16"/>
          <w:szCs w:val="16"/>
        </w:rPr>
      </w:pPr>
      <w:r w:rsidRPr="00530753">
        <w:rPr>
          <w:rFonts w:ascii="Tahoma" w:hAnsi="Tahoma" w:cs="Tahoma"/>
          <w:b/>
          <w:bCs/>
          <w:smallCaps/>
          <w:color w:val="1D1D1B"/>
          <w:sz w:val="16"/>
          <w:szCs w:val="16"/>
        </w:rPr>
        <w:t>ΣΗΜΑΝΤΙΚΗ ΣΗΜΕΙΩΣΗ</w:t>
      </w:r>
    </w:p>
    <w:p w:rsidR="00DA1B17" w:rsidRPr="00860CE0" w:rsidRDefault="003F7633" w:rsidP="008273A8">
      <w:pPr>
        <w:jc w:val="both"/>
        <w:rPr>
          <w:rFonts w:ascii="Tahoma" w:hAnsi="Tahoma" w:cs="Tahoma"/>
          <w:color w:val="7F7F7F"/>
          <w:sz w:val="16"/>
          <w:szCs w:val="16"/>
        </w:rPr>
      </w:pPr>
      <w:r w:rsidRPr="004B65A0">
        <w:rPr>
          <w:rFonts w:ascii="Tahoma" w:hAnsi="Tahoma" w:cs="Tahoma"/>
          <w:color w:val="7F7F7F"/>
          <w:sz w:val="16"/>
          <w:szCs w:val="16"/>
        </w:rPr>
        <w:t>Σε αυτή την παρουσίαση ενδέχεται να περιέχονται μελλοντικές προβλέψεις, οι οποίες βασίζονται σε εκτιμήσεις και υποθέσεις σχ</w:t>
      </w:r>
      <w:r w:rsidR="00DA1B17" w:rsidRPr="00860CE0">
        <w:rPr>
          <w:rFonts w:ascii="Tahoma" w:hAnsi="Tahoma" w:cs="Tahoma"/>
          <w:color w:val="7F7F7F"/>
          <w:sz w:val="16"/>
          <w:szCs w:val="16"/>
        </w:rPr>
        <w:t>ετικά με αναμενόμενες εξελίξεις και άλλους παράγοντες που επηρεάζουν την Εταιρεία. Οι εκτιμήσεις αυτές δεν αποτελούν ιστορικά γεγονότα ούτε εγγύηση για τη μελλοντική απόδοση της Εταιρείας. Αυτές οι μελλοντικές εκτιμήσεις εμπεριέχουν κινδύνους και αβεβαιότητες καθώς υπάρχουν παράγοντες που μπορούν να δημιουργήσουν σημαντική παρέκκλιση των μελλοντικών αποτελεσμάτων της Εταιρείας από τις εκτιμήσεις αυτές.</w:t>
      </w:r>
    </w:p>
    <w:p w:rsidR="00DA1B17" w:rsidRPr="00860CE0" w:rsidRDefault="00DA1B17" w:rsidP="008273A8">
      <w:pPr>
        <w:jc w:val="both"/>
        <w:rPr>
          <w:rFonts w:ascii="Tahoma" w:hAnsi="Tahoma" w:cs="Tahoma"/>
          <w:color w:val="7F7F7F"/>
          <w:sz w:val="16"/>
          <w:szCs w:val="16"/>
        </w:rPr>
      </w:pPr>
      <w:r w:rsidRPr="00860CE0">
        <w:rPr>
          <w:rFonts w:ascii="Tahoma" w:hAnsi="Tahoma" w:cs="Tahoma"/>
          <w:color w:val="7F7F7F"/>
          <w:sz w:val="16"/>
          <w:szCs w:val="16"/>
          <w:lang w:val="en-US"/>
        </w:rPr>
        <w:t> </w:t>
      </w:r>
    </w:p>
    <w:p w:rsidR="00DA1B17" w:rsidRDefault="00DA1B17" w:rsidP="008E70C0">
      <w:pPr>
        <w:jc w:val="both"/>
      </w:pPr>
      <w:r w:rsidRPr="00860CE0">
        <w:rPr>
          <w:rFonts w:ascii="Tahoma" w:hAnsi="Tahoma" w:cs="Tahoma"/>
          <w:color w:val="7F7F7F"/>
          <w:sz w:val="16"/>
          <w:szCs w:val="16"/>
        </w:rPr>
        <w:lastRenderedPageBreak/>
        <w:t>Οι μελλοντικές εκτιμήσεις αφορούν μόνο την ημερομηνία της συγκεκριμένης παρουσίασης και δεν αναλαμβάνουμε οποιαδήποτε υποχρέωση να ανανεώνουμε ή επικαιροποιούμε δημόσια οποιεσδήποτε μελλοντικές εκτιμήσεις που περιέχονται στο παρόν προκειμένου να συνάδουν αυτές με τυχόν αλλαγές στις προσδοκίες, στα γεγονότα, στις συνθήκες ή τους όρους που αποτέλεσαν τη βάση για τις εν λόγω μελλοντικές εκτιμήσεις.</w:t>
      </w:r>
    </w:p>
    <w:sectPr w:rsidR="00DA1B17" w:rsidSect="00410645">
      <w:headerReference w:type="default" r:id="rId9"/>
      <w:pgSz w:w="11906" w:h="16838"/>
      <w:pgMar w:top="1985" w:right="707" w:bottom="1440" w:left="709"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33F" w:rsidRDefault="00B5033F" w:rsidP="00817338">
      <w:r>
        <w:separator/>
      </w:r>
    </w:p>
  </w:endnote>
  <w:endnote w:type="continuationSeparator" w:id="0">
    <w:p w:rsidR="00B5033F" w:rsidRDefault="00B5033F" w:rsidP="008173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33F" w:rsidRDefault="00B5033F" w:rsidP="00817338">
      <w:r>
        <w:separator/>
      </w:r>
    </w:p>
  </w:footnote>
  <w:footnote w:type="continuationSeparator" w:id="0">
    <w:p w:rsidR="00B5033F" w:rsidRDefault="00B5033F" w:rsidP="00817338">
      <w:r>
        <w:continuationSeparator/>
      </w:r>
    </w:p>
  </w:footnote>
  <w:footnote w:id="1">
    <w:p w:rsidR="00BF557A" w:rsidRPr="00FC7609" w:rsidRDefault="00BF557A" w:rsidP="006235FD">
      <w:pPr>
        <w:pStyle w:val="FootnoteText"/>
      </w:pPr>
      <w:r w:rsidRPr="005609DC">
        <w:rPr>
          <w:rStyle w:val="FootnoteReference"/>
          <w:sz w:val="16"/>
          <w:szCs w:val="16"/>
        </w:rPr>
        <w:footnoteRef/>
      </w:r>
      <w:r w:rsidRPr="006235FD">
        <w:rPr>
          <w:rFonts w:ascii="Tahoma" w:hAnsi="Tahoma" w:cs="Tahoma"/>
          <w:i/>
          <w:iCs/>
          <w:sz w:val="16"/>
          <w:szCs w:val="16"/>
        </w:rPr>
        <w:t>Ενεργοί</w:t>
      </w:r>
      <w:r w:rsidRPr="00FC7609">
        <w:rPr>
          <w:rFonts w:ascii="Tahoma" w:hAnsi="Tahoma" w:cs="Tahoma"/>
          <w:i/>
          <w:iCs/>
          <w:sz w:val="16"/>
          <w:szCs w:val="16"/>
        </w:rPr>
        <w:t xml:space="preserve"> &amp; </w:t>
      </w:r>
      <w:r w:rsidRPr="006235FD">
        <w:rPr>
          <w:rFonts w:ascii="Tahoma" w:hAnsi="Tahoma" w:cs="Tahoma"/>
          <w:i/>
          <w:iCs/>
          <w:sz w:val="16"/>
          <w:szCs w:val="16"/>
        </w:rPr>
        <w:t>υπό</w:t>
      </w:r>
      <w:r w:rsidRPr="00FC7609">
        <w:rPr>
          <w:rFonts w:ascii="Tahoma" w:hAnsi="Tahoma" w:cs="Tahoma"/>
          <w:i/>
          <w:iCs/>
          <w:sz w:val="16"/>
          <w:szCs w:val="16"/>
        </w:rPr>
        <w:t xml:space="preserve"> </w:t>
      </w:r>
      <w:r w:rsidRPr="006235FD">
        <w:rPr>
          <w:rFonts w:ascii="Tahoma" w:hAnsi="Tahoma" w:cs="Tahoma"/>
          <w:i/>
          <w:iCs/>
          <w:sz w:val="16"/>
          <w:szCs w:val="16"/>
        </w:rPr>
        <w:t>ενεργοποίηση</w:t>
      </w:r>
      <w:r w:rsidRPr="00FC7609">
        <w:rPr>
          <w:rFonts w:ascii="Tahoma" w:hAnsi="Tahoma" w:cs="Tahoma"/>
          <w:i/>
          <w:iCs/>
          <w:sz w:val="16"/>
          <w:szCs w:val="16"/>
        </w:rPr>
        <w:t xml:space="preserve"> </w:t>
      </w:r>
      <w:r w:rsidRPr="006235FD">
        <w:rPr>
          <w:rFonts w:ascii="Tahoma" w:hAnsi="Tahoma" w:cs="Tahoma"/>
          <w:i/>
          <w:iCs/>
          <w:sz w:val="16"/>
          <w:szCs w:val="16"/>
        </w:rPr>
        <w:t>συνδρομητές</w:t>
      </w:r>
    </w:p>
  </w:footnote>
  <w:footnote w:id="2">
    <w:p w:rsidR="00185CE1" w:rsidRPr="00185CE1" w:rsidRDefault="00185CE1" w:rsidP="00185CE1">
      <w:pPr>
        <w:pStyle w:val="NormalWeb"/>
        <w:spacing w:before="0" w:beforeAutospacing="0" w:after="0" w:afterAutospacing="0"/>
        <w:jc w:val="both"/>
        <w:rPr>
          <w:rFonts w:ascii="Tahoma" w:hAnsi="Tahoma" w:cs="Tahoma"/>
          <w:i/>
          <w:sz w:val="16"/>
          <w:szCs w:val="16"/>
          <w:lang w:val="el-GR"/>
        </w:rPr>
      </w:pPr>
      <w:r w:rsidRPr="005609DC">
        <w:rPr>
          <w:rStyle w:val="FootnoteReference"/>
          <w:sz w:val="16"/>
          <w:szCs w:val="16"/>
        </w:rPr>
        <w:footnoteRef/>
      </w:r>
      <w:r w:rsidRPr="00185CE1">
        <w:rPr>
          <w:rFonts w:ascii="Tahoma" w:hAnsi="Tahoma" w:cs="Tahoma"/>
          <w:i/>
          <w:sz w:val="16"/>
          <w:szCs w:val="16"/>
          <w:lang w:val="el-GR"/>
        </w:rPr>
        <w:t xml:space="preserve">Η ομαλοποίηση </w:t>
      </w:r>
      <w:r w:rsidRPr="00185CE1">
        <w:rPr>
          <w:rFonts w:ascii="Tahoma" w:hAnsi="Tahoma" w:cs="Tahoma"/>
          <w:i/>
          <w:iCs/>
          <w:color w:val="000000"/>
          <w:sz w:val="16"/>
          <w:szCs w:val="16"/>
          <w:lang w:val="el-GR"/>
        </w:rPr>
        <w:t>οφείλεται στην αναταξινόμηση στον κύκλο εργασιών κονδυλίων των επιχειρηματικών εσόδων που βάσει λογιστικής πολιτικής παρουσιάζονται στα έξοδα</w:t>
      </w:r>
    </w:p>
  </w:footnote>
  <w:footnote w:id="3">
    <w:p w:rsidR="004A17AC" w:rsidRPr="00726E1E" w:rsidRDefault="004A17AC" w:rsidP="002D226D">
      <w:pPr>
        <w:pStyle w:val="NormalWeb"/>
        <w:spacing w:before="0" w:beforeAutospacing="0" w:after="0" w:afterAutospacing="0"/>
        <w:jc w:val="both"/>
        <w:rPr>
          <w:rFonts w:ascii="Tahoma" w:hAnsi="Tahoma" w:cs="Tahoma"/>
          <w:i/>
          <w:sz w:val="16"/>
          <w:szCs w:val="16"/>
          <w:lang w:val="el-GR"/>
        </w:rPr>
      </w:pPr>
      <w:r w:rsidRPr="005609DC">
        <w:rPr>
          <w:rStyle w:val="FootnoteReference"/>
          <w:sz w:val="16"/>
          <w:szCs w:val="16"/>
        </w:rPr>
        <w:footnoteRef/>
      </w:r>
      <w:r w:rsidRPr="00410645">
        <w:rPr>
          <w:rFonts w:ascii="Tahoma" w:hAnsi="Tahoma" w:cs="Tahoma"/>
          <w:i/>
          <w:iCs/>
          <w:sz w:val="16"/>
          <w:szCs w:val="16"/>
          <w:lang w:val="el-GR"/>
        </w:rPr>
        <w:t xml:space="preserve">Προσαρμοσμένα </w:t>
      </w:r>
      <w:r w:rsidRPr="008F4109">
        <w:rPr>
          <w:rFonts w:ascii="Tahoma" w:hAnsi="Tahoma" w:cs="Tahoma"/>
          <w:i/>
          <w:iCs/>
          <w:sz w:val="16"/>
          <w:szCs w:val="16"/>
        </w:rPr>
        <w:t>EBITDA</w:t>
      </w:r>
      <w:r w:rsidRPr="00410645">
        <w:rPr>
          <w:rFonts w:ascii="Tahoma" w:hAnsi="Tahoma" w:cs="Tahoma"/>
          <w:i/>
          <w:iCs/>
          <w:sz w:val="16"/>
          <w:szCs w:val="16"/>
          <w:lang w:val="el-GR"/>
        </w:rPr>
        <w:t xml:space="preserve"> από μη ταμειακές και άλλες προσαρμογές</w:t>
      </w:r>
      <w:r>
        <w:rPr>
          <w:rFonts w:ascii="Tahoma" w:hAnsi="Tahoma" w:cs="Tahoma"/>
          <w:i/>
          <w:iCs/>
          <w:sz w:val="16"/>
          <w:szCs w:val="16"/>
          <w:lang w:val="el-GR"/>
        </w:rPr>
        <w:t>.</w:t>
      </w:r>
      <w:r w:rsidRPr="002D226D">
        <w:rPr>
          <w:rFonts w:ascii="Tahoma" w:hAnsi="Tahoma" w:cs="Tahoma"/>
          <w:i/>
          <w:sz w:val="16"/>
          <w:szCs w:val="16"/>
          <w:lang w:val="el-GR"/>
        </w:rPr>
        <w:t xml:space="preserve"> Στο </w:t>
      </w:r>
      <w:r>
        <w:rPr>
          <w:rFonts w:ascii="Tahoma" w:hAnsi="Tahoma" w:cs="Tahoma"/>
          <w:i/>
          <w:sz w:val="16"/>
          <w:szCs w:val="16"/>
          <w:lang w:val="el-GR"/>
        </w:rPr>
        <w:t>12μήνο</w:t>
      </w:r>
      <w:r w:rsidRPr="002D226D">
        <w:rPr>
          <w:rFonts w:ascii="Tahoma" w:hAnsi="Tahoma" w:cs="Tahoma"/>
          <w:i/>
          <w:sz w:val="16"/>
          <w:szCs w:val="16"/>
          <w:lang w:val="el-GR"/>
        </w:rPr>
        <w:t xml:space="preserve"> του 2015 υπήρξε πρόβλεψη 2,25εκ. πο</w:t>
      </w:r>
      <w:r>
        <w:rPr>
          <w:rFonts w:ascii="Tahoma" w:hAnsi="Tahoma" w:cs="Tahoma"/>
          <w:i/>
          <w:sz w:val="16"/>
          <w:szCs w:val="16"/>
          <w:lang w:val="el-GR"/>
        </w:rPr>
        <w:t>υ σχετίζεται με νομική υπόθεση.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57A" w:rsidRDefault="00BF557A" w:rsidP="00817338">
    <w:pPr>
      <w:pStyle w:val="Header"/>
      <w:jc w:val="right"/>
    </w:pPr>
    <w:r>
      <w:rPr>
        <w:noProof/>
      </w:rPr>
      <w:drawing>
        <wp:inline distT="0" distB="0" distL="0" distR="0">
          <wp:extent cx="1887220" cy="898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887220" cy="898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74E8"/>
    <w:multiLevelType w:val="hybridMultilevel"/>
    <w:tmpl w:val="4CCC8A58"/>
    <w:lvl w:ilvl="0" w:tplc="0408000B">
      <w:start w:val="1"/>
      <w:numFmt w:val="bullet"/>
      <w:lvlText w:val=""/>
      <w:lvlJc w:val="left"/>
      <w:pPr>
        <w:ind w:left="614" w:hanging="360"/>
      </w:pPr>
      <w:rPr>
        <w:rFonts w:ascii="Wingdings" w:hAnsi="Wingdings" w:hint="default"/>
      </w:rPr>
    </w:lvl>
    <w:lvl w:ilvl="1" w:tplc="04090003">
      <w:start w:val="1"/>
      <w:numFmt w:val="bullet"/>
      <w:lvlText w:val="o"/>
      <w:lvlJc w:val="left"/>
      <w:pPr>
        <w:ind w:left="1334" w:hanging="360"/>
      </w:pPr>
      <w:rPr>
        <w:rFonts w:ascii="Courier New" w:hAnsi="Courier New" w:cs="Courier New" w:hint="default"/>
      </w:rPr>
    </w:lvl>
    <w:lvl w:ilvl="2" w:tplc="04090005">
      <w:start w:val="1"/>
      <w:numFmt w:val="bullet"/>
      <w:lvlText w:val=""/>
      <w:lvlJc w:val="left"/>
      <w:pPr>
        <w:ind w:left="2054" w:hanging="360"/>
      </w:pPr>
      <w:rPr>
        <w:rFonts w:ascii="Wingdings" w:hAnsi="Wingdings" w:cs="Wingdings" w:hint="default"/>
      </w:rPr>
    </w:lvl>
    <w:lvl w:ilvl="3" w:tplc="04090001">
      <w:start w:val="1"/>
      <w:numFmt w:val="bullet"/>
      <w:lvlText w:val=""/>
      <w:lvlJc w:val="left"/>
      <w:pPr>
        <w:ind w:left="2774" w:hanging="360"/>
      </w:pPr>
      <w:rPr>
        <w:rFonts w:ascii="Symbol" w:hAnsi="Symbol" w:cs="Symbol" w:hint="default"/>
      </w:rPr>
    </w:lvl>
    <w:lvl w:ilvl="4" w:tplc="04090003">
      <w:start w:val="1"/>
      <w:numFmt w:val="bullet"/>
      <w:lvlText w:val="o"/>
      <w:lvlJc w:val="left"/>
      <w:pPr>
        <w:ind w:left="3494" w:hanging="360"/>
      </w:pPr>
      <w:rPr>
        <w:rFonts w:ascii="Courier New" w:hAnsi="Courier New" w:cs="Courier New" w:hint="default"/>
      </w:rPr>
    </w:lvl>
    <w:lvl w:ilvl="5" w:tplc="04090005">
      <w:start w:val="1"/>
      <w:numFmt w:val="bullet"/>
      <w:lvlText w:val=""/>
      <w:lvlJc w:val="left"/>
      <w:pPr>
        <w:ind w:left="4214" w:hanging="360"/>
      </w:pPr>
      <w:rPr>
        <w:rFonts w:ascii="Wingdings" w:hAnsi="Wingdings" w:cs="Wingdings" w:hint="default"/>
      </w:rPr>
    </w:lvl>
    <w:lvl w:ilvl="6" w:tplc="04090001">
      <w:start w:val="1"/>
      <w:numFmt w:val="bullet"/>
      <w:lvlText w:val=""/>
      <w:lvlJc w:val="left"/>
      <w:pPr>
        <w:ind w:left="4934" w:hanging="360"/>
      </w:pPr>
      <w:rPr>
        <w:rFonts w:ascii="Symbol" w:hAnsi="Symbol" w:cs="Symbol" w:hint="default"/>
      </w:rPr>
    </w:lvl>
    <w:lvl w:ilvl="7" w:tplc="04090003">
      <w:start w:val="1"/>
      <w:numFmt w:val="bullet"/>
      <w:lvlText w:val="o"/>
      <w:lvlJc w:val="left"/>
      <w:pPr>
        <w:ind w:left="5654" w:hanging="360"/>
      </w:pPr>
      <w:rPr>
        <w:rFonts w:ascii="Courier New" w:hAnsi="Courier New" w:cs="Courier New" w:hint="default"/>
      </w:rPr>
    </w:lvl>
    <w:lvl w:ilvl="8" w:tplc="04090005">
      <w:start w:val="1"/>
      <w:numFmt w:val="bullet"/>
      <w:lvlText w:val=""/>
      <w:lvlJc w:val="left"/>
      <w:pPr>
        <w:ind w:left="6374" w:hanging="360"/>
      </w:pPr>
      <w:rPr>
        <w:rFonts w:ascii="Wingdings" w:hAnsi="Wingdings" w:cs="Wingdings" w:hint="default"/>
      </w:rPr>
    </w:lvl>
  </w:abstractNum>
  <w:abstractNum w:abstractNumId="1">
    <w:nsid w:val="06162820"/>
    <w:multiLevelType w:val="hybridMultilevel"/>
    <w:tmpl w:val="245A15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0BC53CD3"/>
    <w:multiLevelType w:val="hybridMultilevel"/>
    <w:tmpl w:val="5E94C1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9B7C78"/>
    <w:multiLevelType w:val="hybridMultilevel"/>
    <w:tmpl w:val="BC0837F8"/>
    <w:lvl w:ilvl="0" w:tplc="04090001">
      <w:start w:val="1"/>
      <w:numFmt w:val="bullet"/>
      <w:lvlText w:val=""/>
      <w:lvlJc w:val="left"/>
      <w:pPr>
        <w:ind w:left="614" w:hanging="360"/>
      </w:pPr>
      <w:rPr>
        <w:rFonts w:ascii="Symbol" w:hAnsi="Symbol" w:cs="Symbol" w:hint="default"/>
      </w:rPr>
    </w:lvl>
    <w:lvl w:ilvl="1" w:tplc="04090003">
      <w:start w:val="1"/>
      <w:numFmt w:val="bullet"/>
      <w:lvlText w:val="o"/>
      <w:lvlJc w:val="left"/>
      <w:pPr>
        <w:ind w:left="1334" w:hanging="360"/>
      </w:pPr>
      <w:rPr>
        <w:rFonts w:ascii="Courier New" w:hAnsi="Courier New" w:cs="Courier New" w:hint="default"/>
      </w:rPr>
    </w:lvl>
    <w:lvl w:ilvl="2" w:tplc="04090005">
      <w:start w:val="1"/>
      <w:numFmt w:val="bullet"/>
      <w:lvlText w:val=""/>
      <w:lvlJc w:val="left"/>
      <w:pPr>
        <w:ind w:left="2054" w:hanging="360"/>
      </w:pPr>
      <w:rPr>
        <w:rFonts w:ascii="Wingdings" w:hAnsi="Wingdings" w:cs="Wingdings" w:hint="default"/>
      </w:rPr>
    </w:lvl>
    <w:lvl w:ilvl="3" w:tplc="04090001">
      <w:start w:val="1"/>
      <w:numFmt w:val="bullet"/>
      <w:lvlText w:val=""/>
      <w:lvlJc w:val="left"/>
      <w:pPr>
        <w:ind w:left="2774" w:hanging="360"/>
      </w:pPr>
      <w:rPr>
        <w:rFonts w:ascii="Symbol" w:hAnsi="Symbol" w:cs="Symbol" w:hint="default"/>
      </w:rPr>
    </w:lvl>
    <w:lvl w:ilvl="4" w:tplc="04090003">
      <w:start w:val="1"/>
      <w:numFmt w:val="bullet"/>
      <w:lvlText w:val="o"/>
      <w:lvlJc w:val="left"/>
      <w:pPr>
        <w:ind w:left="3494" w:hanging="360"/>
      </w:pPr>
      <w:rPr>
        <w:rFonts w:ascii="Courier New" w:hAnsi="Courier New" w:cs="Courier New" w:hint="default"/>
      </w:rPr>
    </w:lvl>
    <w:lvl w:ilvl="5" w:tplc="04090005">
      <w:start w:val="1"/>
      <w:numFmt w:val="bullet"/>
      <w:lvlText w:val=""/>
      <w:lvlJc w:val="left"/>
      <w:pPr>
        <w:ind w:left="4214" w:hanging="360"/>
      </w:pPr>
      <w:rPr>
        <w:rFonts w:ascii="Wingdings" w:hAnsi="Wingdings" w:cs="Wingdings" w:hint="default"/>
      </w:rPr>
    </w:lvl>
    <w:lvl w:ilvl="6" w:tplc="04090001">
      <w:start w:val="1"/>
      <w:numFmt w:val="bullet"/>
      <w:lvlText w:val=""/>
      <w:lvlJc w:val="left"/>
      <w:pPr>
        <w:ind w:left="4934" w:hanging="360"/>
      </w:pPr>
      <w:rPr>
        <w:rFonts w:ascii="Symbol" w:hAnsi="Symbol" w:cs="Symbol" w:hint="default"/>
      </w:rPr>
    </w:lvl>
    <w:lvl w:ilvl="7" w:tplc="04090003">
      <w:start w:val="1"/>
      <w:numFmt w:val="bullet"/>
      <w:lvlText w:val="o"/>
      <w:lvlJc w:val="left"/>
      <w:pPr>
        <w:ind w:left="5654" w:hanging="360"/>
      </w:pPr>
      <w:rPr>
        <w:rFonts w:ascii="Courier New" w:hAnsi="Courier New" w:cs="Courier New" w:hint="default"/>
      </w:rPr>
    </w:lvl>
    <w:lvl w:ilvl="8" w:tplc="04090005">
      <w:start w:val="1"/>
      <w:numFmt w:val="bullet"/>
      <w:lvlText w:val=""/>
      <w:lvlJc w:val="left"/>
      <w:pPr>
        <w:ind w:left="6374" w:hanging="360"/>
      </w:pPr>
      <w:rPr>
        <w:rFonts w:ascii="Wingdings" w:hAnsi="Wingdings" w:cs="Wingdings" w:hint="default"/>
      </w:rPr>
    </w:lvl>
  </w:abstractNum>
  <w:abstractNum w:abstractNumId="4">
    <w:nsid w:val="202E47B9"/>
    <w:multiLevelType w:val="hybridMultilevel"/>
    <w:tmpl w:val="A0045812"/>
    <w:lvl w:ilvl="0" w:tplc="04090003">
      <w:start w:val="1"/>
      <w:numFmt w:val="bullet"/>
      <w:lvlText w:val="o"/>
      <w:lvlJc w:val="left"/>
      <w:pPr>
        <w:ind w:left="1146" w:hanging="360"/>
      </w:pPr>
      <w:rPr>
        <w:rFonts w:ascii="Courier New" w:hAnsi="Courier New" w:cs="Courier New"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
    <w:nsid w:val="4C4C41A2"/>
    <w:multiLevelType w:val="hybridMultilevel"/>
    <w:tmpl w:val="62560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D4A4FDE"/>
    <w:multiLevelType w:val="hybridMultilevel"/>
    <w:tmpl w:val="A1E68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215B6A"/>
    <w:multiLevelType w:val="hybridMultilevel"/>
    <w:tmpl w:val="991AFA1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nsid w:val="500752D3"/>
    <w:multiLevelType w:val="hybridMultilevel"/>
    <w:tmpl w:val="5D0027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3C45CE8"/>
    <w:multiLevelType w:val="multilevel"/>
    <w:tmpl w:val="EBB8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5E5764"/>
    <w:multiLevelType w:val="hybridMultilevel"/>
    <w:tmpl w:val="725CACA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58783E5B"/>
    <w:multiLevelType w:val="hybridMultilevel"/>
    <w:tmpl w:val="432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DDD1F79"/>
    <w:multiLevelType w:val="hybridMultilevel"/>
    <w:tmpl w:val="B2FCED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0597433"/>
    <w:multiLevelType w:val="hybridMultilevel"/>
    <w:tmpl w:val="2E409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5052D77"/>
    <w:multiLevelType w:val="hybridMultilevel"/>
    <w:tmpl w:val="E9A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5B1C62"/>
    <w:multiLevelType w:val="hybridMultilevel"/>
    <w:tmpl w:val="F41A3B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D4C1988"/>
    <w:multiLevelType w:val="hybridMultilevel"/>
    <w:tmpl w:val="38F6AB8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1"/>
  </w:num>
  <w:num w:numId="2">
    <w:abstractNumId w:val="3"/>
  </w:num>
  <w:num w:numId="3">
    <w:abstractNumId w:val="16"/>
  </w:num>
  <w:num w:numId="4">
    <w:abstractNumId w:val="10"/>
  </w:num>
  <w:num w:numId="5">
    <w:abstractNumId w:val="13"/>
  </w:num>
  <w:num w:numId="6">
    <w:abstractNumId w:val="8"/>
  </w:num>
  <w:num w:numId="7">
    <w:abstractNumId w:val="15"/>
  </w:num>
  <w:num w:numId="8">
    <w:abstractNumId w:val="0"/>
  </w:num>
  <w:num w:numId="9">
    <w:abstractNumId w:val="11"/>
  </w:num>
  <w:num w:numId="10">
    <w:abstractNumId w:val="5"/>
  </w:num>
  <w:num w:numId="11">
    <w:abstractNumId w:val="9"/>
  </w:num>
  <w:num w:numId="12">
    <w:abstractNumId w:val="12"/>
  </w:num>
  <w:num w:numId="13">
    <w:abstractNumId w:val="7"/>
  </w:num>
  <w:num w:numId="14">
    <w:abstractNumId w:val="2"/>
  </w:num>
  <w:num w:numId="15">
    <w:abstractNumId w:val="14"/>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817338"/>
    <w:rsid w:val="00002590"/>
    <w:rsid w:val="00002722"/>
    <w:rsid w:val="00002D19"/>
    <w:rsid w:val="00003AEC"/>
    <w:rsid w:val="000045E7"/>
    <w:rsid w:val="000055D5"/>
    <w:rsid w:val="00012585"/>
    <w:rsid w:val="00013B82"/>
    <w:rsid w:val="00016C6F"/>
    <w:rsid w:val="00016FBE"/>
    <w:rsid w:val="00022593"/>
    <w:rsid w:val="00023AC9"/>
    <w:rsid w:val="00026BF8"/>
    <w:rsid w:val="00030E5F"/>
    <w:rsid w:val="000311AD"/>
    <w:rsid w:val="00031803"/>
    <w:rsid w:val="000319DF"/>
    <w:rsid w:val="00034899"/>
    <w:rsid w:val="000368E3"/>
    <w:rsid w:val="0004204D"/>
    <w:rsid w:val="00043216"/>
    <w:rsid w:val="00044FE0"/>
    <w:rsid w:val="00050D01"/>
    <w:rsid w:val="000514DD"/>
    <w:rsid w:val="0005323A"/>
    <w:rsid w:val="00060FC2"/>
    <w:rsid w:val="00064773"/>
    <w:rsid w:val="000650EF"/>
    <w:rsid w:val="000657D9"/>
    <w:rsid w:val="000664FA"/>
    <w:rsid w:val="00067287"/>
    <w:rsid w:val="00067C8B"/>
    <w:rsid w:val="00070F51"/>
    <w:rsid w:val="0007151F"/>
    <w:rsid w:val="0007152F"/>
    <w:rsid w:val="0007225E"/>
    <w:rsid w:val="000737BB"/>
    <w:rsid w:val="0008489A"/>
    <w:rsid w:val="00086B47"/>
    <w:rsid w:val="00086E1E"/>
    <w:rsid w:val="000872BA"/>
    <w:rsid w:val="000956B8"/>
    <w:rsid w:val="00095B76"/>
    <w:rsid w:val="0009618C"/>
    <w:rsid w:val="00097F72"/>
    <w:rsid w:val="000A178D"/>
    <w:rsid w:val="000A754A"/>
    <w:rsid w:val="000B283F"/>
    <w:rsid w:val="000B78D4"/>
    <w:rsid w:val="000C508C"/>
    <w:rsid w:val="000D10A7"/>
    <w:rsid w:val="000D3C8A"/>
    <w:rsid w:val="000D4A71"/>
    <w:rsid w:val="000D6806"/>
    <w:rsid w:val="000E23EB"/>
    <w:rsid w:val="000E24C0"/>
    <w:rsid w:val="000E2584"/>
    <w:rsid w:val="000E365A"/>
    <w:rsid w:val="000E66E2"/>
    <w:rsid w:val="000E7490"/>
    <w:rsid w:val="000F1CE9"/>
    <w:rsid w:val="000F7996"/>
    <w:rsid w:val="00100005"/>
    <w:rsid w:val="001019ED"/>
    <w:rsid w:val="00105D2A"/>
    <w:rsid w:val="00110521"/>
    <w:rsid w:val="00110E66"/>
    <w:rsid w:val="00111C7B"/>
    <w:rsid w:val="00112FE5"/>
    <w:rsid w:val="001172A8"/>
    <w:rsid w:val="00123028"/>
    <w:rsid w:val="00123610"/>
    <w:rsid w:val="001247BD"/>
    <w:rsid w:val="00130A8E"/>
    <w:rsid w:val="00131023"/>
    <w:rsid w:val="00131179"/>
    <w:rsid w:val="0013425C"/>
    <w:rsid w:val="001441C6"/>
    <w:rsid w:val="00144332"/>
    <w:rsid w:val="00146E5A"/>
    <w:rsid w:val="00147686"/>
    <w:rsid w:val="00151DE2"/>
    <w:rsid w:val="001521DE"/>
    <w:rsid w:val="001562F8"/>
    <w:rsid w:val="001579DA"/>
    <w:rsid w:val="00162BAB"/>
    <w:rsid w:val="00163C38"/>
    <w:rsid w:val="001669C3"/>
    <w:rsid w:val="00167262"/>
    <w:rsid w:val="00182A65"/>
    <w:rsid w:val="00185471"/>
    <w:rsid w:val="00185CE1"/>
    <w:rsid w:val="00192A82"/>
    <w:rsid w:val="001A1541"/>
    <w:rsid w:val="001A1559"/>
    <w:rsid w:val="001A15FC"/>
    <w:rsid w:val="001A3486"/>
    <w:rsid w:val="001A42D2"/>
    <w:rsid w:val="001A47A5"/>
    <w:rsid w:val="001B2F6E"/>
    <w:rsid w:val="001B3D21"/>
    <w:rsid w:val="001B5BDB"/>
    <w:rsid w:val="001B6049"/>
    <w:rsid w:val="001C39AA"/>
    <w:rsid w:val="001C4FB5"/>
    <w:rsid w:val="001D0899"/>
    <w:rsid w:val="001D2D2A"/>
    <w:rsid w:val="001D39B0"/>
    <w:rsid w:val="001D43D5"/>
    <w:rsid w:val="001D5052"/>
    <w:rsid w:val="001D5D76"/>
    <w:rsid w:val="001D656E"/>
    <w:rsid w:val="001D76EE"/>
    <w:rsid w:val="001E053B"/>
    <w:rsid w:val="001E0B9B"/>
    <w:rsid w:val="001E2126"/>
    <w:rsid w:val="001E338C"/>
    <w:rsid w:val="001E46A3"/>
    <w:rsid w:val="001E7F51"/>
    <w:rsid w:val="001F13EF"/>
    <w:rsid w:val="001F1C13"/>
    <w:rsid w:val="00201110"/>
    <w:rsid w:val="002102D0"/>
    <w:rsid w:val="00211721"/>
    <w:rsid w:val="002147D4"/>
    <w:rsid w:val="002231C5"/>
    <w:rsid w:val="002236DA"/>
    <w:rsid w:val="00224ED4"/>
    <w:rsid w:val="00227B43"/>
    <w:rsid w:val="00231AC0"/>
    <w:rsid w:val="002351F6"/>
    <w:rsid w:val="00240C85"/>
    <w:rsid w:val="00242912"/>
    <w:rsid w:val="00242E42"/>
    <w:rsid w:val="00244A19"/>
    <w:rsid w:val="00244E39"/>
    <w:rsid w:val="0024502C"/>
    <w:rsid w:val="00251FE7"/>
    <w:rsid w:val="00254601"/>
    <w:rsid w:val="00255815"/>
    <w:rsid w:val="00255D25"/>
    <w:rsid w:val="00256AB2"/>
    <w:rsid w:val="00256B07"/>
    <w:rsid w:val="002601A6"/>
    <w:rsid w:val="0026169F"/>
    <w:rsid w:val="002617B1"/>
    <w:rsid w:val="002630AB"/>
    <w:rsid w:val="00263202"/>
    <w:rsid w:val="0026368A"/>
    <w:rsid w:val="00264DF5"/>
    <w:rsid w:val="00265194"/>
    <w:rsid w:val="00267908"/>
    <w:rsid w:val="00274616"/>
    <w:rsid w:val="00276051"/>
    <w:rsid w:val="002917F4"/>
    <w:rsid w:val="002A24F5"/>
    <w:rsid w:val="002A6A4A"/>
    <w:rsid w:val="002B1CC2"/>
    <w:rsid w:val="002B63F8"/>
    <w:rsid w:val="002C06B1"/>
    <w:rsid w:val="002C29CA"/>
    <w:rsid w:val="002C3529"/>
    <w:rsid w:val="002C3579"/>
    <w:rsid w:val="002C46A3"/>
    <w:rsid w:val="002C475D"/>
    <w:rsid w:val="002C5A92"/>
    <w:rsid w:val="002D226D"/>
    <w:rsid w:val="002D76EB"/>
    <w:rsid w:val="002E2E25"/>
    <w:rsid w:val="002E32BF"/>
    <w:rsid w:val="002F500A"/>
    <w:rsid w:val="002F5CCC"/>
    <w:rsid w:val="002F5F58"/>
    <w:rsid w:val="002F7AA6"/>
    <w:rsid w:val="003005C0"/>
    <w:rsid w:val="0030370F"/>
    <w:rsid w:val="00303F4A"/>
    <w:rsid w:val="00304B32"/>
    <w:rsid w:val="0030626A"/>
    <w:rsid w:val="00313BA2"/>
    <w:rsid w:val="003173FF"/>
    <w:rsid w:val="003266B5"/>
    <w:rsid w:val="003306B8"/>
    <w:rsid w:val="00331E63"/>
    <w:rsid w:val="00333FDF"/>
    <w:rsid w:val="0033555B"/>
    <w:rsid w:val="0034098C"/>
    <w:rsid w:val="003420D5"/>
    <w:rsid w:val="00342A5F"/>
    <w:rsid w:val="003434B7"/>
    <w:rsid w:val="00344F29"/>
    <w:rsid w:val="00346BC3"/>
    <w:rsid w:val="003471B4"/>
    <w:rsid w:val="003473AA"/>
    <w:rsid w:val="00354C62"/>
    <w:rsid w:val="003565C8"/>
    <w:rsid w:val="0035784A"/>
    <w:rsid w:val="003622B3"/>
    <w:rsid w:val="0036796D"/>
    <w:rsid w:val="00367E87"/>
    <w:rsid w:val="00370D89"/>
    <w:rsid w:val="00371691"/>
    <w:rsid w:val="00373410"/>
    <w:rsid w:val="00373B4A"/>
    <w:rsid w:val="0037637F"/>
    <w:rsid w:val="003767A6"/>
    <w:rsid w:val="00385936"/>
    <w:rsid w:val="0038690C"/>
    <w:rsid w:val="00387B61"/>
    <w:rsid w:val="00390BCF"/>
    <w:rsid w:val="00391E4D"/>
    <w:rsid w:val="0039267F"/>
    <w:rsid w:val="003926E6"/>
    <w:rsid w:val="003A245F"/>
    <w:rsid w:val="003A4D9A"/>
    <w:rsid w:val="003A4EF2"/>
    <w:rsid w:val="003A72F8"/>
    <w:rsid w:val="003A759D"/>
    <w:rsid w:val="003B0E7D"/>
    <w:rsid w:val="003B4A95"/>
    <w:rsid w:val="003B7053"/>
    <w:rsid w:val="003C26E2"/>
    <w:rsid w:val="003C594D"/>
    <w:rsid w:val="003C5F7B"/>
    <w:rsid w:val="003D2996"/>
    <w:rsid w:val="003D4006"/>
    <w:rsid w:val="003D443E"/>
    <w:rsid w:val="003D4681"/>
    <w:rsid w:val="003D56DE"/>
    <w:rsid w:val="003D5B63"/>
    <w:rsid w:val="003E0221"/>
    <w:rsid w:val="003E4E22"/>
    <w:rsid w:val="003E719C"/>
    <w:rsid w:val="003F5DC3"/>
    <w:rsid w:val="003F70FE"/>
    <w:rsid w:val="003F7633"/>
    <w:rsid w:val="003F77C3"/>
    <w:rsid w:val="003F7A48"/>
    <w:rsid w:val="004005F2"/>
    <w:rsid w:val="004033FE"/>
    <w:rsid w:val="00403FBD"/>
    <w:rsid w:val="00410645"/>
    <w:rsid w:val="00411E5C"/>
    <w:rsid w:val="00417515"/>
    <w:rsid w:val="00422A3E"/>
    <w:rsid w:val="004261B9"/>
    <w:rsid w:val="00426434"/>
    <w:rsid w:val="004269F2"/>
    <w:rsid w:val="00427437"/>
    <w:rsid w:val="004307AF"/>
    <w:rsid w:val="0043244A"/>
    <w:rsid w:val="00433567"/>
    <w:rsid w:val="00434310"/>
    <w:rsid w:val="004358DE"/>
    <w:rsid w:val="00435C1E"/>
    <w:rsid w:val="00435F51"/>
    <w:rsid w:val="004367D1"/>
    <w:rsid w:val="004402A4"/>
    <w:rsid w:val="004435F5"/>
    <w:rsid w:val="00444C70"/>
    <w:rsid w:val="00446C4F"/>
    <w:rsid w:val="00451665"/>
    <w:rsid w:val="0045245E"/>
    <w:rsid w:val="00453E45"/>
    <w:rsid w:val="0045485C"/>
    <w:rsid w:val="00457F73"/>
    <w:rsid w:val="004608E8"/>
    <w:rsid w:val="00460F35"/>
    <w:rsid w:val="004626EF"/>
    <w:rsid w:val="00464EF5"/>
    <w:rsid w:val="00465FF1"/>
    <w:rsid w:val="0046676F"/>
    <w:rsid w:val="004735CA"/>
    <w:rsid w:val="0047474A"/>
    <w:rsid w:val="00480C43"/>
    <w:rsid w:val="00486286"/>
    <w:rsid w:val="004877AC"/>
    <w:rsid w:val="004A17AC"/>
    <w:rsid w:val="004A698A"/>
    <w:rsid w:val="004B04F6"/>
    <w:rsid w:val="004B1397"/>
    <w:rsid w:val="004B1E3F"/>
    <w:rsid w:val="004B2C2D"/>
    <w:rsid w:val="004B48CE"/>
    <w:rsid w:val="004B65A0"/>
    <w:rsid w:val="004B7A29"/>
    <w:rsid w:val="004C005F"/>
    <w:rsid w:val="004C0414"/>
    <w:rsid w:val="004C0C5F"/>
    <w:rsid w:val="004C27F3"/>
    <w:rsid w:val="004C7796"/>
    <w:rsid w:val="004D1965"/>
    <w:rsid w:val="004D46D9"/>
    <w:rsid w:val="004D7644"/>
    <w:rsid w:val="004E1A7D"/>
    <w:rsid w:val="004E4D66"/>
    <w:rsid w:val="004E7C64"/>
    <w:rsid w:val="004F16F1"/>
    <w:rsid w:val="004F2572"/>
    <w:rsid w:val="004F259A"/>
    <w:rsid w:val="004F4128"/>
    <w:rsid w:val="004F5350"/>
    <w:rsid w:val="004F5D6D"/>
    <w:rsid w:val="004F652F"/>
    <w:rsid w:val="00501478"/>
    <w:rsid w:val="0050304C"/>
    <w:rsid w:val="005063CF"/>
    <w:rsid w:val="005223BC"/>
    <w:rsid w:val="005227CE"/>
    <w:rsid w:val="00527096"/>
    <w:rsid w:val="005300A5"/>
    <w:rsid w:val="00530753"/>
    <w:rsid w:val="00530C5C"/>
    <w:rsid w:val="00531B50"/>
    <w:rsid w:val="005320FF"/>
    <w:rsid w:val="00532A0E"/>
    <w:rsid w:val="00534A83"/>
    <w:rsid w:val="00534D4F"/>
    <w:rsid w:val="005365FD"/>
    <w:rsid w:val="00536E4A"/>
    <w:rsid w:val="00542A56"/>
    <w:rsid w:val="005448BE"/>
    <w:rsid w:val="005466D9"/>
    <w:rsid w:val="00554187"/>
    <w:rsid w:val="005555AD"/>
    <w:rsid w:val="00560621"/>
    <w:rsid w:val="005609DC"/>
    <w:rsid w:val="005633D8"/>
    <w:rsid w:val="00563EC0"/>
    <w:rsid w:val="00566BB0"/>
    <w:rsid w:val="00570AE6"/>
    <w:rsid w:val="00572832"/>
    <w:rsid w:val="00572C3C"/>
    <w:rsid w:val="00575ABC"/>
    <w:rsid w:val="00575E94"/>
    <w:rsid w:val="005817B8"/>
    <w:rsid w:val="0058301C"/>
    <w:rsid w:val="005843F7"/>
    <w:rsid w:val="00584862"/>
    <w:rsid w:val="00592515"/>
    <w:rsid w:val="00594031"/>
    <w:rsid w:val="00596590"/>
    <w:rsid w:val="005A0EF3"/>
    <w:rsid w:val="005A4329"/>
    <w:rsid w:val="005A5070"/>
    <w:rsid w:val="005B1539"/>
    <w:rsid w:val="005B2BA7"/>
    <w:rsid w:val="005B48E6"/>
    <w:rsid w:val="005B5E9A"/>
    <w:rsid w:val="005B62C1"/>
    <w:rsid w:val="005B6A42"/>
    <w:rsid w:val="005B7B84"/>
    <w:rsid w:val="005B7F55"/>
    <w:rsid w:val="005C0CB2"/>
    <w:rsid w:val="005D229A"/>
    <w:rsid w:val="005D4181"/>
    <w:rsid w:val="005D59BC"/>
    <w:rsid w:val="005E0B52"/>
    <w:rsid w:val="005E0E5D"/>
    <w:rsid w:val="005E4581"/>
    <w:rsid w:val="005E77DB"/>
    <w:rsid w:val="005F7989"/>
    <w:rsid w:val="0060088E"/>
    <w:rsid w:val="0060289D"/>
    <w:rsid w:val="00603650"/>
    <w:rsid w:val="00604290"/>
    <w:rsid w:val="00605042"/>
    <w:rsid w:val="00611B8D"/>
    <w:rsid w:val="006121C6"/>
    <w:rsid w:val="006130BD"/>
    <w:rsid w:val="0061599D"/>
    <w:rsid w:val="006205BC"/>
    <w:rsid w:val="006235FD"/>
    <w:rsid w:val="00630E9D"/>
    <w:rsid w:val="00631AE9"/>
    <w:rsid w:val="00640939"/>
    <w:rsid w:val="00642AC4"/>
    <w:rsid w:val="00643C29"/>
    <w:rsid w:val="00643C78"/>
    <w:rsid w:val="00647246"/>
    <w:rsid w:val="00647CAB"/>
    <w:rsid w:val="00650AF1"/>
    <w:rsid w:val="00651DB7"/>
    <w:rsid w:val="00655012"/>
    <w:rsid w:val="006569FA"/>
    <w:rsid w:val="00661724"/>
    <w:rsid w:val="00663845"/>
    <w:rsid w:val="0066537D"/>
    <w:rsid w:val="006727C5"/>
    <w:rsid w:val="006752B7"/>
    <w:rsid w:val="00676C2F"/>
    <w:rsid w:val="0067716F"/>
    <w:rsid w:val="0068040C"/>
    <w:rsid w:val="00687236"/>
    <w:rsid w:val="00690A66"/>
    <w:rsid w:val="0069534D"/>
    <w:rsid w:val="006974C5"/>
    <w:rsid w:val="006A1448"/>
    <w:rsid w:val="006A4E93"/>
    <w:rsid w:val="006A54CA"/>
    <w:rsid w:val="006B0798"/>
    <w:rsid w:val="006B0EF7"/>
    <w:rsid w:val="006B2058"/>
    <w:rsid w:val="006B3CB2"/>
    <w:rsid w:val="006C1501"/>
    <w:rsid w:val="006C3395"/>
    <w:rsid w:val="006C3642"/>
    <w:rsid w:val="006C459B"/>
    <w:rsid w:val="006C5594"/>
    <w:rsid w:val="006D15AC"/>
    <w:rsid w:val="006D226E"/>
    <w:rsid w:val="006D2E67"/>
    <w:rsid w:val="006D4C56"/>
    <w:rsid w:val="006D4F69"/>
    <w:rsid w:val="006E0484"/>
    <w:rsid w:val="006E08EB"/>
    <w:rsid w:val="006E25E8"/>
    <w:rsid w:val="006E3772"/>
    <w:rsid w:val="006E3CFC"/>
    <w:rsid w:val="006E606E"/>
    <w:rsid w:val="006F3A63"/>
    <w:rsid w:val="006F5548"/>
    <w:rsid w:val="00701E8A"/>
    <w:rsid w:val="00707B41"/>
    <w:rsid w:val="0071333C"/>
    <w:rsid w:val="00717157"/>
    <w:rsid w:val="00721D1D"/>
    <w:rsid w:val="0072362C"/>
    <w:rsid w:val="00726E1E"/>
    <w:rsid w:val="00727B3C"/>
    <w:rsid w:val="007311EE"/>
    <w:rsid w:val="00731275"/>
    <w:rsid w:val="00733D14"/>
    <w:rsid w:val="007340C6"/>
    <w:rsid w:val="007358C6"/>
    <w:rsid w:val="00735EF5"/>
    <w:rsid w:val="00736EFE"/>
    <w:rsid w:val="00737DAE"/>
    <w:rsid w:val="0074025A"/>
    <w:rsid w:val="007457F4"/>
    <w:rsid w:val="00746E2A"/>
    <w:rsid w:val="00752D52"/>
    <w:rsid w:val="00760536"/>
    <w:rsid w:val="0076151E"/>
    <w:rsid w:val="00763620"/>
    <w:rsid w:val="0077587A"/>
    <w:rsid w:val="00775DF2"/>
    <w:rsid w:val="00781120"/>
    <w:rsid w:val="00783222"/>
    <w:rsid w:val="007872BA"/>
    <w:rsid w:val="00791C54"/>
    <w:rsid w:val="00792084"/>
    <w:rsid w:val="0079467C"/>
    <w:rsid w:val="00795302"/>
    <w:rsid w:val="00796045"/>
    <w:rsid w:val="007A15DF"/>
    <w:rsid w:val="007A1CDC"/>
    <w:rsid w:val="007A4150"/>
    <w:rsid w:val="007A4DA8"/>
    <w:rsid w:val="007A69EA"/>
    <w:rsid w:val="007A7BAD"/>
    <w:rsid w:val="007B1583"/>
    <w:rsid w:val="007B2870"/>
    <w:rsid w:val="007B62C8"/>
    <w:rsid w:val="007C4371"/>
    <w:rsid w:val="007C532C"/>
    <w:rsid w:val="007C6F82"/>
    <w:rsid w:val="007C6FCF"/>
    <w:rsid w:val="007C72CB"/>
    <w:rsid w:val="007D03E2"/>
    <w:rsid w:val="007D2A89"/>
    <w:rsid w:val="007D2B16"/>
    <w:rsid w:val="007D3872"/>
    <w:rsid w:val="007D4291"/>
    <w:rsid w:val="007D5E7E"/>
    <w:rsid w:val="007D6869"/>
    <w:rsid w:val="007E064A"/>
    <w:rsid w:val="007E1986"/>
    <w:rsid w:val="007E354C"/>
    <w:rsid w:val="007E354D"/>
    <w:rsid w:val="007E4D42"/>
    <w:rsid w:val="007E5238"/>
    <w:rsid w:val="007E70BC"/>
    <w:rsid w:val="007E7A5D"/>
    <w:rsid w:val="007F106A"/>
    <w:rsid w:val="007F25A7"/>
    <w:rsid w:val="007F2BD8"/>
    <w:rsid w:val="007F3D14"/>
    <w:rsid w:val="007F72AE"/>
    <w:rsid w:val="00804ED1"/>
    <w:rsid w:val="008053EA"/>
    <w:rsid w:val="008114F7"/>
    <w:rsid w:val="00812466"/>
    <w:rsid w:val="008134C2"/>
    <w:rsid w:val="00814199"/>
    <w:rsid w:val="00817338"/>
    <w:rsid w:val="008203B5"/>
    <w:rsid w:val="0082155F"/>
    <w:rsid w:val="00821986"/>
    <w:rsid w:val="00822B21"/>
    <w:rsid w:val="008273A8"/>
    <w:rsid w:val="00835E39"/>
    <w:rsid w:val="00836E6D"/>
    <w:rsid w:val="00841F80"/>
    <w:rsid w:val="00844325"/>
    <w:rsid w:val="008455B1"/>
    <w:rsid w:val="00845EED"/>
    <w:rsid w:val="00846F35"/>
    <w:rsid w:val="00850EA4"/>
    <w:rsid w:val="00850FC5"/>
    <w:rsid w:val="00854233"/>
    <w:rsid w:val="00854C3A"/>
    <w:rsid w:val="00860CE0"/>
    <w:rsid w:val="00866FBF"/>
    <w:rsid w:val="00881D24"/>
    <w:rsid w:val="00886501"/>
    <w:rsid w:val="008869D4"/>
    <w:rsid w:val="00886C5F"/>
    <w:rsid w:val="00892CCB"/>
    <w:rsid w:val="00895F37"/>
    <w:rsid w:val="008A209F"/>
    <w:rsid w:val="008A224C"/>
    <w:rsid w:val="008A47FE"/>
    <w:rsid w:val="008A55C9"/>
    <w:rsid w:val="008A7AC8"/>
    <w:rsid w:val="008B31C1"/>
    <w:rsid w:val="008B4086"/>
    <w:rsid w:val="008B5925"/>
    <w:rsid w:val="008C041A"/>
    <w:rsid w:val="008C0726"/>
    <w:rsid w:val="008C08C6"/>
    <w:rsid w:val="008C0E99"/>
    <w:rsid w:val="008C7968"/>
    <w:rsid w:val="008E4137"/>
    <w:rsid w:val="008E632F"/>
    <w:rsid w:val="008E70C0"/>
    <w:rsid w:val="008E7F6D"/>
    <w:rsid w:val="008F4109"/>
    <w:rsid w:val="008F6533"/>
    <w:rsid w:val="00905F55"/>
    <w:rsid w:val="0090687A"/>
    <w:rsid w:val="0091116A"/>
    <w:rsid w:val="009117ED"/>
    <w:rsid w:val="00911F50"/>
    <w:rsid w:val="0091265B"/>
    <w:rsid w:val="00921BFD"/>
    <w:rsid w:val="0092327E"/>
    <w:rsid w:val="00923307"/>
    <w:rsid w:val="00924993"/>
    <w:rsid w:val="00934437"/>
    <w:rsid w:val="00935986"/>
    <w:rsid w:val="00936552"/>
    <w:rsid w:val="00936EA7"/>
    <w:rsid w:val="009404A5"/>
    <w:rsid w:val="0094366B"/>
    <w:rsid w:val="009461BF"/>
    <w:rsid w:val="00947183"/>
    <w:rsid w:val="0095142E"/>
    <w:rsid w:val="009518D1"/>
    <w:rsid w:val="00954439"/>
    <w:rsid w:val="00955FD9"/>
    <w:rsid w:val="00963807"/>
    <w:rsid w:val="00964CE4"/>
    <w:rsid w:val="0096554B"/>
    <w:rsid w:val="00975F33"/>
    <w:rsid w:val="009762C0"/>
    <w:rsid w:val="00980DF8"/>
    <w:rsid w:val="00981E5D"/>
    <w:rsid w:val="00981EA8"/>
    <w:rsid w:val="009821A6"/>
    <w:rsid w:val="009932A3"/>
    <w:rsid w:val="00995AEB"/>
    <w:rsid w:val="00996A70"/>
    <w:rsid w:val="009A0EAC"/>
    <w:rsid w:val="009A124F"/>
    <w:rsid w:val="009A3886"/>
    <w:rsid w:val="009A5CE4"/>
    <w:rsid w:val="009A5F48"/>
    <w:rsid w:val="009A6844"/>
    <w:rsid w:val="009B09D5"/>
    <w:rsid w:val="009B110C"/>
    <w:rsid w:val="009B2633"/>
    <w:rsid w:val="009B3272"/>
    <w:rsid w:val="009B53F0"/>
    <w:rsid w:val="009B6E27"/>
    <w:rsid w:val="009C3040"/>
    <w:rsid w:val="009C406E"/>
    <w:rsid w:val="009C5710"/>
    <w:rsid w:val="009D081A"/>
    <w:rsid w:val="009D3B2F"/>
    <w:rsid w:val="009D7F2A"/>
    <w:rsid w:val="009E046C"/>
    <w:rsid w:val="009E3154"/>
    <w:rsid w:val="009E6A06"/>
    <w:rsid w:val="009F02E9"/>
    <w:rsid w:val="009F1342"/>
    <w:rsid w:val="009F51D3"/>
    <w:rsid w:val="009F5CB2"/>
    <w:rsid w:val="00A00DBA"/>
    <w:rsid w:val="00A014EA"/>
    <w:rsid w:val="00A07D80"/>
    <w:rsid w:val="00A111F0"/>
    <w:rsid w:val="00A11ED6"/>
    <w:rsid w:val="00A13B8E"/>
    <w:rsid w:val="00A14974"/>
    <w:rsid w:val="00A165F0"/>
    <w:rsid w:val="00A17C52"/>
    <w:rsid w:val="00A22518"/>
    <w:rsid w:val="00A25791"/>
    <w:rsid w:val="00A2682E"/>
    <w:rsid w:val="00A27FB2"/>
    <w:rsid w:val="00A31069"/>
    <w:rsid w:val="00A3155E"/>
    <w:rsid w:val="00A34751"/>
    <w:rsid w:val="00A37035"/>
    <w:rsid w:val="00A42ED0"/>
    <w:rsid w:val="00A45C7E"/>
    <w:rsid w:val="00A4678D"/>
    <w:rsid w:val="00A47246"/>
    <w:rsid w:val="00A47E6E"/>
    <w:rsid w:val="00A51247"/>
    <w:rsid w:val="00A52B2E"/>
    <w:rsid w:val="00A543E6"/>
    <w:rsid w:val="00A54C73"/>
    <w:rsid w:val="00A6240B"/>
    <w:rsid w:val="00A63A78"/>
    <w:rsid w:val="00A6456F"/>
    <w:rsid w:val="00A64EE1"/>
    <w:rsid w:val="00A665DA"/>
    <w:rsid w:val="00A674C0"/>
    <w:rsid w:val="00A71A51"/>
    <w:rsid w:val="00A72A9F"/>
    <w:rsid w:val="00A74A7F"/>
    <w:rsid w:val="00A768DD"/>
    <w:rsid w:val="00A8021F"/>
    <w:rsid w:val="00A833F4"/>
    <w:rsid w:val="00A83781"/>
    <w:rsid w:val="00A852D9"/>
    <w:rsid w:val="00A8643D"/>
    <w:rsid w:val="00A8659E"/>
    <w:rsid w:val="00A9017B"/>
    <w:rsid w:val="00A94980"/>
    <w:rsid w:val="00AA0EAF"/>
    <w:rsid w:val="00AB11D1"/>
    <w:rsid w:val="00AB1F9C"/>
    <w:rsid w:val="00AB2F10"/>
    <w:rsid w:val="00AB37A7"/>
    <w:rsid w:val="00AB4867"/>
    <w:rsid w:val="00AB48CF"/>
    <w:rsid w:val="00AB5121"/>
    <w:rsid w:val="00AB764F"/>
    <w:rsid w:val="00AC141F"/>
    <w:rsid w:val="00AC285B"/>
    <w:rsid w:val="00AC3A38"/>
    <w:rsid w:val="00AC7715"/>
    <w:rsid w:val="00AE0758"/>
    <w:rsid w:val="00AE2630"/>
    <w:rsid w:val="00AF17F3"/>
    <w:rsid w:val="00AF3771"/>
    <w:rsid w:val="00AF41EE"/>
    <w:rsid w:val="00B00C3B"/>
    <w:rsid w:val="00B013A8"/>
    <w:rsid w:val="00B01861"/>
    <w:rsid w:val="00B0308E"/>
    <w:rsid w:val="00B05F98"/>
    <w:rsid w:val="00B075CF"/>
    <w:rsid w:val="00B131D3"/>
    <w:rsid w:val="00B15DB3"/>
    <w:rsid w:val="00B2219E"/>
    <w:rsid w:val="00B229B1"/>
    <w:rsid w:val="00B22DE4"/>
    <w:rsid w:val="00B24A79"/>
    <w:rsid w:val="00B27DF5"/>
    <w:rsid w:val="00B34E2B"/>
    <w:rsid w:val="00B35159"/>
    <w:rsid w:val="00B35A90"/>
    <w:rsid w:val="00B35BF9"/>
    <w:rsid w:val="00B45DF6"/>
    <w:rsid w:val="00B46794"/>
    <w:rsid w:val="00B5033F"/>
    <w:rsid w:val="00B50F27"/>
    <w:rsid w:val="00B61DC0"/>
    <w:rsid w:val="00B639A4"/>
    <w:rsid w:val="00B646A3"/>
    <w:rsid w:val="00B6506D"/>
    <w:rsid w:val="00B67451"/>
    <w:rsid w:val="00B67C99"/>
    <w:rsid w:val="00B860BF"/>
    <w:rsid w:val="00B86FCA"/>
    <w:rsid w:val="00B87214"/>
    <w:rsid w:val="00B92A53"/>
    <w:rsid w:val="00B93CD1"/>
    <w:rsid w:val="00B96A54"/>
    <w:rsid w:val="00B970AF"/>
    <w:rsid w:val="00B97D2C"/>
    <w:rsid w:val="00BA3A2A"/>
    <w:rsid w:val="00BA7A90"/>
    <w:rsid w:val="00BB2147"/>
    <w:rsid w:val="00BB59FE"/>
    <w:rsid w:val="00BB7583"/>
    <w:rsid w:val="00BC0A56"/>
    <w:rsid w:val="00BC5155"/>
    <w:rsid w:val="00BC67D4"/>
    <w:rsid w:val="00BD068D"/>
    <w:rsid w:val="00BD16C1"/>
    <w:rsid w:val="00BD18D4"/>
    <w:rsid w:val="00BD27EA"/>
    <w:rsid w:val="00BD4691"/>
    <w:rsid w:val="00BD5BD3"/>
    <w:rsid w:val="00BD798D"/>
    <w:rsid w:val="00BD7E67"/>
    <w:rsid w:val="00BE352F"/>
    <w:rsid w:val="00BE6889"/>
    <w:rsid w:val="00BE7280"/>
    <w:rsid w:val="00BF2530"/>
    <w:rsid w:val="00BF2E30"/>
    <w:rsid w:val="00BF34B5"/>
    <w:rsid w:val="00BF3A93"/>
    <w:rsid w:val="00BF4B9A"/>
    <w:rsid w:val="00BF557A"/>
    <w:rsid w:val="00C01F8D"/>
    <w:rsid w:val="00C03218"/>
    <w:rsid w:val="00C04C9F"/>
    <w:rsid w:val="00C10214"/>
    <w:rsid w:val="00C11426"/>
    <w:rsid w:val="00C129E5"/>
    <w:rsid w:val="00C22F36"/>
    <w:rsid w:val="00C26176"/>
    <w:rsid w:val="00C327A3"/>
    <w:rsid w:val="00C33292"/>
    <w:rsid w:val="00C36533"/>
    <w:rsid w:val="00C40207"/>
    <w:rsid w:val="00C40E12"/>
    <w:rsid w:val="00C42667"/>
    <w:rsid w:val="00C47CE9"/>
    <w:rsid w:val="00C570D6"/>
    <w:rsid w:val="00C57311"/>
    <w:rsid w:val="00C609AD"/>
    <w:rsid w:val="00C64FF2"/>
    <w:rsid w:val="00C71B89"/>
    <w:rsid w:val="00C729F7"/>
    <w:rsid w:val="00C75F6E"/>
    <w:rsid w:val="00C8103C"/>
    <w:rsid w:val="00C819E7"/>
    <w:rsid w:val="00C90E6C"/>
    <w:rsid w:val="00C95067"/>
    <w:rsid w:val="00CA29B4"/>
    <w:rsid w:val="00CB0855"/>
    <w:rsid w:val="00CB09AA"/>
    <w:rsid w:val="00CB0A89"/>
    <w:rsid w:val="00CB49C7"/>
    <w:rsid w:val="00CB4BF2"/>
    <w:rsid w:val="00CC006A"/>
    <w:rsid w:val="00CC3712"/>
    <w:rsid w:val="00CD0A2A"/>
    <w:rsid w:val="00CD5274"/>
    <w:rsid w:val="00CD5B3D"/>
    <w:rsid w:val="00CD66DD"/>
    <w:rsid w:val="00CD74FF"/>
    <w:rsid w:val="00CE1977"/>
    <w:rsid w:val="00CE1BE7"/>
    <w:rsid w:val="00CE725B"/>
    <w:rsid w:val="00CF063D"/>
    <w:rsid w:val="00CF155C"/>
    <w:rsid w:val="00CF375C"/>
    <w:rsid w:val="00CF5663"/>
    <w:rsid w:val="00CF6CB8"/>
    <w:rsid w:val="00D11215"/>
    <w:rsid w:val="00D115E4"/>
    <w:rsid w:val="00D116D4"/>
    <w:rsid w:val="00D14A2E"/>
    <w:rsid w:val="00D153E9"/>
    <w:rsid w:val="00D16AAD"/>
    <w:rsid w:val="00D20D31"/>
    <w:rsid w:val="00D21EF8"/>
    <w:rsid w:val="00D229BF"/>
    <w:rsid w:val="00D30FCC"/>
    <w:rsid w:val="00D31467"/>
    <w:rsid w:val="00D31491"/>
    <w:rsid w:val="00D3227B"/>
    <w:rsid w:val="00D32411"/>
    <w:rsid w:val="00D32EC5"/>
    <w:rsid w:val="00D36B8E"/>
    <w:rsid w:val="00D47798"/>
    <w:rsid w:val="00D5394F"/>
    <w:rsid w:val="00D56196"/>
    <w:rsid w:val="00D570CD"/>
    <w:rsid w:val="00D57594"/>
    <w:rsid w:val="00D600FE"/>
    <w:rsid w:val="00D61E63"/>
    <w:rsid w:val="00D6304A"/>
    <w:rsid w:val="00D64039"/>
    <w:rsid w:val="00D64050"/>
    <w:rsid w:val="00D7058E"/>
    <w:rsid w:val="00D713B4"/>
    <w:rsid w:val="00D73D9A"/>
    <w:rsid w:val="00D74C96"/>
    <w:rsid w:val="00D74E08"/>
    <w:rsid w:val="00D85F02"/>
    <w:rsid w:val="00D877BE"/>
    <w:rsid w:val="00D91666"/>
    <w:rsid w:val="00D92363"/>
    <w:rsid w:val="00D926AD"/>
    <w:rsid w:val="00D934A2"/>
    <w:rsid w:val="00D94670"/>
    <w:rsid w:val="00D96AF6"/>
    <w:rsid w:val="00DA1B17"/>
    <w:rsid w:val="00DA2DB9"/>
    <w:rsid w:val="00DA3FCC"/>
    <w:rsid w:val="00DA434C"/>
    <w:rsid w:val="00DA5018"/>
    <w:rsid w:val="00DA7AAC"/>
    <w:rsid w:val="00DB0E58"/>
    <w:rsid w:val="00DB175F"/>
    <w:rsid w:val="00DB62BE"/>
    <w:rsid w:val="00DC1D20"/>
    <w:rsid w:val="00DC53C6"/>
    <w:rsid w:val="00DD2700"/>
    <w:rsid w:val="00DD2EAD"/>
    <w:rsid w:val="00DD3F9D"/>
    <w:rsid w:val="00DD442B"/>
    <w:rsid w:val="00DD6888"/>
    <w:rsid w:val="00DD76BB"/>
    <w:rsid w:val="00DF11D5"/>
    <w:rsid w:val="00DF37B6"/>
    <w:rsid w:val="00DF3B99"/>
    <w:rsid w:val="00DF48A0"/>
    <w:rsid w:val="00E11FBF"/>
    <w:rsid w:val="00E13D06"/>
    <w:rsid w:val="00E14FB2"/>
    <w:rsid w:val="00E20EF4"/>
    <w:rsid w:val="00E24843"/>
    <w:rsid w:val="00E2654E"/>
    <w:rsid w:val="00E30C84"/>
    <w:rsid w:val="00E31F66"/>
    <w:rsid w:val="00E3286C"/>
    <w:rsid w:val="00E34494"/>
    <w:rsid w:val="00E35266"/>
    <w:rsid w:val="00E37B00"/>
    <w:rsid w:val="00E40510"/>
    <w:rsid w:val="00E41301"/>
    <w:rsid w:val="00E415BE"/>
    <w:rsid w:val="00E44740"/>
    <w:rsid w:val="00E50511"/>
    <w:rsid w:val="00E53F9C"/>
    <w:rsid w:val="00E6065B"/>
    <w:rsid w:val="00E60D73"/>
    <w:rsid w:val="00E650C6"/>
    <w:rsid w:val="00E67B8A"/>
    <w:rsid w:val="00E7212A"/>
    <w:rsid w:val="00E74220"/>
    <w:rsid w:val="00E757C0"/>
    <w:rsid w:val="00E8176C"/>
    <w:rsid w:val="00E83C1C"/>
    <w:rsid w:val="00E86ECD"/>
    <w:rsid w:val="00E90DA3"/>
    <w:rsid w:val="00E94D99"/>
    <w:rsid w:val="00E95760"/>
    <w:rsid w:val="00EA0A61"/>
    <w:rsid w:val="00EA164F"/>
    <w:rsid w:val="00EA5694"/>
    <w:rsid w:val="00EA5F23"/>
    <w:rsid w:val="00EB22D4"/>
    <w:rsid w:val="00EB2DFB"/>
    <w:rsid w:val="00EB4FC4"/>
    <w:rsid w:val="00EB5FCA"/>
    <w:rsid w:val="00EC09C3"/>
    <w:rsid w:val="00EC0B0E"/>
    <w:rsid w:val="00EC12AB"/>
    <w:rsid w:val="00EC4A63"/>
    <w:rsid w:val="00ED0924"/>
    <w:rsid w:val="00ED62D0"/>
    <w:rsid w:val="00ED7619"/>
    <w:rsid w:val="00EE2295"/>
    <w:rsid w:val="00EE261A"/>
    <w:rsid w:val="00EE4435"/>
    <w:rsid w:val="00EE645A"/>
    <w:rsid w:val="00EE64EB"/>
    <w:rsid w:val="00EE79E4"/>
    <w:rsid w:val="00EF4BC0"/>
    <w:rsid w:val="00EF6C37"/>
    <w:rsid w:val="00F035EF"/>
    <w:rsid w:val="00F056EF"/>
    <w:rsid w:val="00F062C8"/>
    <w:rsid w:val="00F06894"/>
    <w:rsid w:val="00F1107A"/>
    <w:rsid w:val="00F11C77"/>
    <w:rsid w:val="00F169CC"/>
    <w:rsid w:val="00F20763"/>
    <w:rsid w:val="00F21DE5"/>
    <w:rsid w:val="00F21EB0"/>
    <w:rsid w:val="00F26A05"/>
    <w:rsid w:val="00F32ACF"/>
    <w:rsid w:val="00F34757"/>
    <w:rsid w:val="00F3568A"/>
    <w:rsid w:val="00F37B7A"/>
    <w:rsid w:val="00F42B95"/>
    <w:rsid w:val="00F43B45"/>
    <w:rsid w:val="00F610BB"/>
    <w:rsid w:val="00F624E1"/>
    <w:rsid w:val="00F62F41"/>
    <w:rsid w:val="00F64D35"/>
    <w:rsid w:val="00F72787"/>
    <w:rsid w:val="00F728BC"/>
    <w:rsid w:val="00F738AB"/>
    <w:rsid w:val="00F75386"/>
    <w:rsid w:val="00F770B3"/>
    <w:rsid w:val="00F85D97"/>
    <w:rsid w:val="00F865FB"/>
    <w:rsid w:val="00F909DE"/>
    <w:rsid w:val="00F914D7"/>
    <w:rsid w:val="00F927AB"/>
    <w:rsid w:val="00F92E4E"/>
    <w:rsid w:val="00F9507B"/>
    <w:rsid w:val="00F97311"/>
    <w:rsid w:val="00FA10A1"/>
    <w:rsid w:val="00FB24BB"/>
    <w:rsid w:val="00FB3118"/>
    <w:rsid w:val="00FB4A61"/>
    <w:rsid w:val="00FC0278"/>
    <w:rsid w:val="00FC46E2"/>
    <w:rsid w:val="00FC7609"/>
    <w:rsid w:val="00FC7729"/>
    <w:rsid w:val="00FD1CD0"/>
    <w:rsid w:val="00FD6296"/>
    <w:rsid w:val="00FE1CB0"/>
    <w:rsid w:val="00FE1ECB"/>
    <w:rsid w:val="00FE2A5C"/>
    <w:rsid w:val="00FE471C"/>
    <w:rsid w:val="00FE70B3"/>
    <w:rsid w:val="00FF4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A8"/>
    <w:rPr>
      <w:rFonts w:ascii="Times New Roman" w:eastAsia="Times New Roman" w:hAnsi="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7338"/>
    <w:pPr>
      <w:tabs>
        <w:tab w:val="center" w:pos="4153"/>
        <w:tab w:val="right" w:pos="8306"/>
      </w:tabs>
    </w:pPr>
  </w:style>
  <w:style w:type="character" w:customStyle="1" w:styleId="HeaderChar">
    <w:name w:val="Header Char"/>
    <w:basedOn w:val="DefaultParagraphFont"/>
    <w:link w:val="Header"/>
    <w:uiPriority w:val="99"/>
    <w:locked/>
    <w:rsid w:val="00817338"/>
  </w:style>
  <w:style w:type="paragraph" w:styleId="Footer">
    <w:name w:val="footer"/>
    <w:basedOn w:val="Normal"/>
    <w:link w:val="FooterChar"/>
    <w:uiPriority w:val="99"/>
    <w:rsid w:val="00817338"/>
    <w:pPr>
      <w:tabs>
        <w:tab w:val="center" w:pos="4153"/>
        <w:tab w:val="right" w:pos="8306"/>
      </w:tabs>
    </w:pPr>
  </w:style>
  <w:style w:type="character" w:customStyle="1" w:styleId="FooterChar">
    <w:name w:val="Footer Char"/>
    <w:basedOn w:val="DefaultParagraphFont"/>
    <w:link w:val="Footer"/>
    <w:uiPriority w:val="99"/>
    <w:locked/>
    <w:rsid w:val="00817338"/>
  </w:style>
  <w:style w:type="paragraph" w:styleId="BalloonText">
    <w:name w:val="Balloon Text"/>
    <w:basedOn w:val="Normal"/>
    <w:link w:val="BalloonTextChar"/>
    <w:uiPriority w:val="99"/>
    <w:semiHidden/>
    <w:rsid w:val="008173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7338"/>
    <w:rPr>
      <w:rFonts w:ascii="Tahoma" w:hAnsi="Tahoma" w:cs="Tahoma"/>
      <w:sz w:val="16"/>
      <w:szCs w:val="16"/>
    </w:rPr>
  </w:style>
  <w:style w:type="paragraph" w:styleId="FootnoteText">
    <w:name w:val="footnote text"/>
    <w:basedOn w:val="Normal"/>
    <w:link w:val="FootnoteTextChar"/>
    <w:semiHidden/>
    <w:rsid w:val="008273A8"/>
    <w:rPr>
      <w:sz w:val="20"/>
      <w:szCs w:val="20"/>
    </w:rPr>
  </w:style>
  <w:style w:type="character" w:customStyle="1" w:styleId="FootnoteTextChar">
    <w:name w:val="Footnote Text Char"/>
    <w:basedOn w:val="DefaultParagraphFont"/>
    <w:link w:val="FootnoteText"/>
    <w:semiHidden/>
    <w:locked/>
    <w:rsid w:val="008273A8"/>
    <w:rPr>
      <w:rFonts w:ascii="Times New Roman" w:hAnsi="Times New Roman" w:cs="Times New Roman"/>
      <w:sz w:val="20"/>
      <w:szCs w:val="20"/>
      <w:lang w:eastAsia="el-GR"/>
    </w:rPr>
  </w:style>
  <w:style w:type="character" w:styleId="FootnoteReference">
    <w:name w:val="footnote reference"/>
    <w:basedOn w:val="DefaultParagraphFont"/>
    <w:semiHidden/>
    <w:rsid w:val="008273A8"/>
    <w:rPr>
      <w:vertAlign w:val="superscript"/>
    </w:rPr>
  </w:style>
  <w:style w:type="paragraph" w:customStyle="1" w:styleId="a">
    <w:name w:val="Παράγραφος λίστας"/>
    <w:basedOn w:val="Normal"/>
    <w:uiPriority w:val="99"/>
    <w:rsid w:val="008273A8"/>
    <w:pPr>
      <w:ind w:left="720"/>
    </w:pPr>
  </w:style>
  <w:style w:type="character" w:customStyle="1" w:styleId="a0">
    <w:name w:val="Τίτλος βιβλίου"/>
    <w:uiPriority w:val="99"/>
    <w:rsid w:val="008273A8"/>
    <w:rPr>
      <w:b/>
      <w:bCs/>
      <w:smallCaps/>
      <w:spacing w:val="5"/>
    </w:rPr>
  </w:style>
  <w:style w:type="paragraph" w:styleId="ListParagraph">
    <w:name w:val="List Paragraph"/>
    <w:basedOn w:val="Normal"/>
    <w:uiPriority w:val="34"/>
    <w:qFormat/>
    <w:rsid w:val="003D443E"/>
    <w:pPr>
      <w:ind w:left="720"/>
    </w:pPr>
  </w:style>
  <w:style w:type="character" w:styleId="CommentReference">
    <w:name w:val="annotation reference"/>
    <w:basedOn w:val="DefaultParagraphFont"/>
    <w:uiPriority w:val="99"/>
    <w:semiHidden/>
    <w:rsid w:val="003E0221"/>
    <w:rPr>
      <w:sz w:val="16"/>
      <w:szCs w:val="16"/>
    </w:rPr>
  </w:style>
  <w:style w:type="paragraph" w:styleId="CommentText">
    <w:name w:val="annotation text"/>
    <w:basedOn w:val="Normal"/>
    <w:link w:val="CommentTextChar"/>
    <w:uiPriority w:val="99"/>
    <w:semiHidden/>
    <w:rsid w:val="003E0221"/>
    <w:rPr>
      <w:sz w:val="20"/>
      <w:szCs w:val="20"/>
    </w:rPr>
  </w:style>
  <w:style w:type="character" w:customStyle="1" w:styleId="CommentTextChar">
    <w:name w:val="Comment Text Char"/>
    <w:basedOn w:val="DefaultParagraphFont"/>
    <w:link w:val="CommentText"/>
    <w:uiPriority w:val="99"/>
    <w:semiHidden/>
    <w:locked/>
    <w:rsid w:val="003E0221"/>
    <w:rPr>
      <w:rFonts w:ascii="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rsid w:val="003E0221"/>
    <w:rPr>
      <w:b/>
      <w:bCs/>
    </w:rPr>
  </w:style>
  <w:style w:type="character" w:customStyle="1" w:styleId="CommentSubjectChar">
    <w:name w:val="Comment Subject Char"/>
    <w:basedOn w:val="CommentTextChar"/>
    <w:link w:val="CommentSubject"/>
    <w:uiPriority w:val="99"/>
    <w:semiHidden/>
    <w:locked/>
    <w:rsid w:val="003E0221"/>
    <w:rPr>
      <w:rFonts w:ascii="Times New Roman" w:hAnsi="Times New Roman" w:cs="Times New Roman"/>
      <w:b/>
      <w:bCs/>
      <w:sz w:val="20"/>
      <w:szCs w:val="20"/>
      <w:lang w:eastAsia="el-GR"/>
    </w:rPr>
  </w:style>
  <w:style w:type="character" w:customStyle="1" w:styleId="apple-converted-space">
    <w:name w:val="apple-converted-space"/>
    <w:basedOn w:val="DefaultParagraphFont"/>
    <w:rsid w:val="00EB5FCA"/>
  </w:style>
  <w:style w:type="paragraph" w:styleId="NormalWeb">
    <w:name w:val="Normal (Web)"/>
    <w:basedOn w:val="Normal"/>
    <w:uiPriority w:val="99"/>
    <w:unhideWhenUsed/>
    <w:rsid w:val="00131179"/>
    <w:pPr>
      <w:spacing w:before="100" w:beforeAutospacing="1" w:after="100" w:afterAutospacing="1"/>
    </w:pPr>
    <w:rPr>
      <w:rFonts w:eastAsia="Calibri"/>
      <w:lang w:val="en-US" w:eastAsia="en-US"/>
    </w:rPr>
  </w:style>
  <w:style w:type="character" w:styleId="Hyperlink">
    <w:name w:val="Hyperlink"/>
    <w:basedOn w:val="DefaultParagraphFont"/>
    <w:uiPriority w:val="99"/>
    <w:unhideWhenUsed/>
    <w:rsid w:val="006E0484"/>
    <w:rPr>
      <w:color w:val="0000FF"/>
      <w:u w:val="single"/>
    </w:rPr>
  </w:style>
  <w:style w:type="paragraph" w:customStyle="1" w:styleId="Default">
    <w:name w:val="Default"/>
    <w:rsid w:val="009A6844"/>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E41301"/>
    <w:rPr>
      <w:rFonts w:ascii="Times New Roman" w:eastAsia="Times New Roman" w:hAnsi="Times New Roman"/>
      <w:sz w:val="24"/>
      <w:szCs w:val="24"/>
      <w:lang w:val="el-GR" w:eastAsia="el-GR"/>
    </w:rPr>
  </w:style>
  <w:style w:type="paragraph" w:styleId="NoSpacing">
    <w:name w:val="No Spacing"/>
    <w:uiPriority w:val="1"/>
    <w:qFormat/>
    <w:rsid w:val="00460F35"/>
    <w:rPr>
      <w:rFonts w:asciiTheme="minorHAnsi" w:eastAsiaTheme="minorHAnsi" w:hAnsiTheme="minorHAnsi" w:cstheme="minorBidi"/>
      <w:sz w:val="22"/>
      <w:szCs w:val="22"/>
      <w:lang w:val="el-GR"/>
    </w:rPr>
  </w:style>
</w:styles>
</file>

<file path=word/webSettings.xml><?xml version="1.0" encoding="utf-8"?>
<w:webSettings xmlns:r="http://schemas.openxmlformats.org/officeDocument/2006/relationships" xmlns:w="http://schemas.openxmlformats.org/wordprocessingml/2006/main">
  <w:divs>
    <w:div w:id="787816045">
      <w:bodyDiv w:val="1"/>
      <w:marLeft w:val="0"/>
      <w:marRight w:val="0"/>
      <w:marTop w:val="0"/>
      <w:marBottom w:val="0"/>
      <w:divBdr>
        <w:top w:val="none" w:sz="0" w:space="0" w:color="auto"/>
        <w:left w:val="none" w:sz="0" w:space="0" w:color="auto"/>
        <w:bottom w:val="none" w:sz="0" w:space="0" w:color="auto"/>
        <w:right w:val="none" w:sz="0" w:space="0" w:color="auto"/>
      </w:divBdr>
    </w:div>
    <w:div w:id="861667984">
      <w:bodyDiv w:val="1"/>
      <w:marLeft w:val="0"/>
      <w:marRight w:val="0"/>
      <w:marTop w:val="0"/>
      <w:marBottom w:val="0"/>
      <w:divBdr>
        <w:top w:val="none" w:sz="0" w:space="0" w:color="auto"/>
        <w:left w:val="none" w:sz="0" w:space="0" w:color="auto"/>
        <w:bottom w:val="none" w:sz="0" w:space="0" w:color="auto"/>
        <w:right w:val="none" w:sz="0" w:space="0" w:color="auto"/>
      </w:divBdr>
    </w:div>
    <w:div w:id="862282135">
      <w:bodyDiv w:val="1"/>
      <w:marLeft w:val="0"/>
      <w:marRight w:val="0"/>
      <w:marTop w:val="0"/>
      <w:marBottom w:val="0"/>
      <w:divBdr>
        <w:top w:val="none" w:sz="0" w:space="0" w:color="auto"/>
        <w:left w:val="none" w:sz="0" w:space="0" w:color="auto"/>
        <w:bottom w:val="none" w:sz="0" w:space="0" w:color="auto"/>
        <w:right w:val="none" w:sz="0" w:space="0" w:color="auto"/>
      </w:divBdr>
      <w:divsChild>
        <w:div w:id="89397861">
          <w:marLeft w:val="0"/>
          <w:marRight w:val="0"/>
          <w:marTop w:val="0"/>
          <w:marBottom w:val="0"/>
          <w:divBdr>
            <w:top w:val="none" w:sz="0" w:space="0" w:color="auto"/>
            <w:left w:val="none" w:sz="0" w:space="0" w:color="auto"/>
            <w:bottom w:val="none" w:sz="0" w:space="0" w:color="auto"/>
            <w:right w:val="none" w:sz="0" w:space="0" w:color="auto"/>
          </w:divBdr>
        </w:div>
      </w:divsChild>
    </w:div>
    <w:div w:id="1153135436">
      <w:marLeft w:val="0"/>
      <w:marRight w:val="0"/>
      <w:marTop w:val="0"/>
      <w:marBottom w:val="0"/>
      <w:divBdr>
        <w:top w:val="none" w:sz="0" w:space="0" w:color="auto"/>
        <w:left w:val="none" w:sz="0" w:space="0" w:color="auto"/>
        <w:bottom w:val="none" w:sz="0" w:space="0" w:color="auto"/>
        <w:right w:val="none" w:sz="0" w:space="0" w:color="auto"/>
      </w:divBdr>
    </w:div>
    <w:div w:id="1153135437">
      <w:marLeft w:val="0"/>
      <w:marRight w:val="0"/>
      <w:marTop w:val="0"/>
      <w:marBottom w:val="0"/>
      <w:divBdr>
        <w:top w:val="none" w:sz="0" w:space="0" w:color="auto"/>
        <w:left w:val="none" w:sz="0" w:space="0" w:color="auto"/>
        <w:bottom w:val="none" w:sz="0" w:space="0" w:color="auto"/>
        <w:right w:val="none" w:sz="0" w:space="0" w:color="auto"/>
      </w:divBdr>
    </w:div>
    <w:div w:id="1529954201">
      <w:bodyDiv w:val="1"/>
      <w:marLeft w:val="0"/>
      <w:marRight w:val="0"/>
      <w:marTop w:val="0"/>
      <w:marBottom w:val="0"/>
      <w:divBdr>
        <w:top w:val="none" w:sz="0" w:space="0" w:color="auto"/>
        <w:left w:val="none" w:sz="0" w:space="0" w:color="auto"/>
        <w:bottom w:val="none" w:sz="0" w:space="0" w:color="auto"/>
        <w:right w:val="none" w:sz="0" w:space="0" w:color="auto"/>
      </w:divBdr>
    </w:div>
    <w:div w:id="1579242532">
      <w:bodyDiv w:val="1"/>
      <w:marLeft w:val="0"/>
      <w:marRight w:val="0"/>
      <w:marTop w:val="0"/>
      <w:marBottom w:val="0"/>
      <w:divBdr>
        <w:top w:val="none" w:sz="0" w:space="0" w:color="auto"/>
        <w:left w:val="none" w:sz="0" w:space="0" w:color="auto"/>
        <w:bottom w:val="none" w:sz="0" w:space="0" w:color="auto"/>
        <w:right w:val="none" w:sz="0" w:space="0" w:color="auto"/>
      </w:divBdr>
      <w:divsChild>
        <w:div w:id="43503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forthnet.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40650-8ABC-498D-B758-96169C0C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Αποτελέσματα 1ου Τριμήνου 2014</vt:lpstr>
    </vt:vector>
  </TitlesOfParts>
  <Company>Hewlett-Packard</Company>
  <LinksUpToDate>false</LinksUpToDate>
  <CharactersWithSpaces>7676</CharactersWithSpaces>
  <SharedDoc>false</SharedDoc>
  <HLinks>
    <vt:vector size="6" baseType="variant">
      <vt:variant>
        <vt:i4>2949135</vt:i4>
      </vt:variant>
      <vt:variant>
        <vt:i4>0</vt:i4>
      </vt:variant>
      <vt:variant>
        <vt:i4>0</vt:i4>
      </vt:variant>
      <vt:variant>
        <vt:i4>5</vt:i4>
      </vt:variant>
      <vt:variant>
        <vt:lpwstr>mailto:ir@forthnet.gr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Αποτελέσματα 1ου Τριμήνου 2014</dc:title>
  <dc:creator>Ferentinos M.</dc:creator>
  <cp:lastModifiedBy>gmax</cp:lastModifiedBy>
  <cp:revision>3</cp:revision>
  <cp:lastPrinted>2017-03-17T12:12:00Z</cp:lastPrinted>
  <dcterms:created xsi:type="dcterms:W3CDTF">2017-04-27T00:06:00Z</dcterms:created>
  <dcterms:modified xsi:type="dcterms:W3CDTF">2017-04-27T00:37:00Z</dcterms:modified>
</cp:coreProperties>
</file>